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24" w:rsidRDefault="00D34E24" w:rsidP="00D34E24">
      <w:pPr>
        <w:pStyle w:val="a4"/>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水質汚染の</w:t>
      </w:r>
      <w:r w:rsidRPr="005C14EA">
        <w:rPr>
          <w:rFonts w:asciiTheme="majorEastAsia" w:eastAsiaTheme="majorEastAsia" w:hAnsiTheme="majorEastAsia" w:hint="eastAsia"/>
          <w:sz w:val="28"/>
          <w:szCs w:val="28"/>
        </w:rPr>
        <w:t>可能性のある化学物質の基本情報、</w:t>
      </w:r>
    </w:p>
    <w:p w:rsidR="00D34E24" w:rsidRPr="005C14EA" w:rsidRDefault="00D34E24" w:rsidP="00D34E24">
      <w:pPr>
        <w:pStyle w:val="a4"/>
        <w:jc w:val="center"/>
        <w:rPr>
          <w:rFonts w:asciiTheme="majorEastAsia" w:eastAsiaTheme="majorEastAsia" w:hAnsiTheme="majorEastAsia"/>
          <w:sz w:val="28"/>
          <w:szCs w:val="28"/>
        </w:rPr>
      </w:pPr>
      <w:r w:rsidRPr="005C14EA">
        <w:rPr>
          <w:rFonts w:asciiTheme="majorEastAsia" w:eastAsiaTheme="majorEastAsia" w:hAnsiTheme="majorEastAsia" w:hint="eastAsia"/>
          <w:sz w:val="28"/>
          <w:szCs w:val="28"/>
        </w:rPr>
        <w:t>環境中の検出状況に関するデータベース</w:t>
      </w:r>
      <w:r w:rsidR="00625DFA">
        <w:rPr>
          <w:rFonts w:asciiTheme="majorEastAsia" w:eastAsiaTheme="majorEastAsia" w:hAnsiTheme="majorEastAsia" w:hint="eastAsia"/>
          <w:sz w:val="28"/>
          <w:szCs w:val="28"/>
        </w:rPr>
        <w:t>について</w:t>
      </w:r>
    </w:p>
    <w:p w:rsidR="00D34E24" w:rsidRPr="0015282F" w:rsidRDefault="00D34E24" w:rsidP="00D34E24">
      <w:pPr>
        <w:pStyle w:val="a4"/>
      </w:pPr>
    </w:p>
    <w:p w:rsidR="00D34E24" w:rsidRDefault="00D34E24" w:rsidP="00D34E24">
      <w:pPr>
        <w:pStyle w:val="a4"/>
        <w:rPr>
          <w:rFonts w:asciiTheme="majorEastAsia" w:eastAsiaTheme="majorEastAsia" w:hAnsiTheme="majorEastAsia"/>
        </w:rPr>
      </w:pPr>
    </w:p>
    <w:p w:rsidR="00D34E24" w:rsidRPr="00D34E24" w:rsidRDefault="00D34E24" w:rsidP="00D34E24">
      <w:pPr>
        <w:pStyle w:val="a4"/>
        <w:jc w:val="center"/>
        <w:rPr>
          <w:rFonts w:asciiTheme="majorEastAsia" w:eastAsiaTheme="majorEastAsia" w:hAnsiTheme="majorEastAsia"/>
        </w:rPr>
      </w:pPr>
      <w:r w:rsidRPr="00D34E24">
        <w:rPr>
          <w:rFonts w:asciiTheme="majorEastAsia" w:eastAsiaTheme="majorEastAsia" w:hAnsiTheme="majorEastAsia" w:hint="eastAsia"/>
        </w:rPr>
        <w:t>浅見真理（国立保健医療科学院）　小坂浩司（国立保健医療科学院）</w:t>
      </w:r>
    </w:p>
    <w:p w:rsidR="00D34E24" w:rsidRPr="00D34E24" w:rsidRDefault="00D34E24" w:rsidP="00D34E24">
      <w:pPr>
        <w:pStyle w:val="a4"/>
        <w:jc w:val="center"/>
        <w:rPr>
          <w:rFonts w:asciiTheme="majorEastAsia" w:eastAsiaTheme="majorEastAsia" w:hAnsiTheme="majorEastAsia"/>
        </w:rPr>
      </w:pPr>
      <w:r w:rsidRPr="00D34E24">
        <w:rPr>
          <w:rFonts w:asciiTheme="majorEastAsia" w:eastAsiaTheme="majorEastAsia" w:hAnsiTheme="majorEastAsia" w:hint="eastAsia"/>
        </w:rPr>
        <w:t>菅原　玲（環境計画研究所）　松井佳彦（北海道大学大学院工学研究院）</w:t>
      </w:r>
    </w:p>
    <w:p w:rsidR="00D34E24" w:rsidRDefault="00D34E24" w:rsidP="005C14EA">
      <w:pPr>
        <w:rPr>
          <w:rFonts w:asciiTheme="majorEastAsia" w:eastAsiaTheme="majorEastAsia" w:hAnsiTheme="majorEastAsia" w:cs="Times New Roman"/>
          <w:b/>
          <w:sz w:val="22"/>
          <w:szCs w:val="20"/>
        </w:rPr>
      </w:pPr>
    </w:p>
    <w:p w:rsidR="00D21C43" w:rsidRDefault="00D21C43" w:rsidP="005C14EA">
      <w:pPr>
        <w:rPr>
          <w:rFonts w:asciiTheme="majorEastAsia" w:eastAsiaTheme="majorEastAsia" w:hAnsiTheme="majorEastAsia" w:cs="Times New Roman"/>
          <w:b/>
          <w:sz w:val="22"/>
          <w:szCs w:val="20"/>
        </w:rPr>
      </w:pPr>
    </w:p>
    <w:p w:rsidR="008035D6" w:rsidRDefault="005C14EA" w:rsidP="008035D6">
      <w:pPr>
        <w:widowControl/>
        <w:spacing w:line="240" w:lineRule="exact"/>
        <w:ind w:firstLineChars="100" w:firstLine="200"/>
        <w:rPr>
          <w:rFonts w:asciiTheme="majorEastAsia" w:eastAsiaTheme="majorEastAsia" w:hAnsiTheme="majorEastAsia" w:cs="Times New Roman"/>
          <w:sz w:val="20"/>
          <w:szCs w:val="18"/>
        </w:rPr>
      </w:pPr>
      <w:r w:rsidRPr="00D34E24">
        <w:rPr>
          <w:rFonts w:asciiTheme="majorEastAsia" w:eastAsiaTheme="majorEastAsia" w:hAnsiTheme="majorEastAsia" w:cs="Times New Roman"/>
          <w:sz w:val="20"/>
          <w:szCs w:val="18"/>
        </w:rPr>
        <w:t>水道水源における水質事故は、年間100</w:t>
      </w:r>
      <w:r w:rsidR="00D34E24">
        <w:rPr>
          <w:rFonts w:asciiTheme="majorEastAsia" w:eastAsiaTheme="majorEastAsia" w:hAnsiTheme="majorEastAsia" w:cs="Times New Roman"/>
          <w:sz w:val="20"/>
          <w:szCs w:val="18"/>
        </w:rPr>
        <w:t>件余りで推移しています</w:t>
      </w:r>
      <w:r w:rsidRPr="00D34E24">
        <w:rPr>
          <w:rFonts w:asciiTheme="majorEastAsia" w:eastAsiaTheme="majorEastAsia" w:hAnsiTheme="majorEastAsia" w:cs="Times New Roman"/>
          <w:sz w:val="20"/>
          <w:szCs w:val="18"/>
        </w:rPr>
        <w:t>。基準にない化学物質については、環境汚</w:t>
      </w:r>
      <w:r w:rsidR="00D34E24">
        <w:rPr>
          <w:rFonts w:asciiTheme="majorEastAsia" w:eastAsiaTheme="majorEastAsia" w:hAnsiTheme="majorEastAsia" w:cs="Times New Roman"/>
          <w:sz w:val="20"/>
          <w:szCs w:val="18"/>
        </w:rPr>
        <w:t>染の現状を把握し、水道においても対策を立てる必要がある場合があります</w:t>
      </w:r>
      <w:r w:rsidRPr="00D34E24">
        <w:rPr>
          <w:rFonts w:asciiTheme="majorEastAsia" w:eastAsiaTheme="majorEastAsia" w:hAnsiTheme="majorEastAsia" w:cs="Times New Roman"/>
          <w:sz w:val="20"/>
          <w:szCs w:val="18"/>
        </w:rPr>
        <w:t>。そこで、水道関係で現在検討されている化学物質及びこれから検討が必要とされる可能性がある化学物質の物性等と環境中での検出状況について、基本的な情報を収集し試行的に整理したデータベースを作成</w:t>
      </w:r>
      <w:r w:rsidR="00D34E24">
        <w:rPr>
          <w:rFonts w:asciiTheme="majorEastAsia" w:eastAsiaTheme="majorEastAsia" w:hAnsiTheme="majorEastAsia" w:cs="Times New Roman"/>
          <w:sz w:val="20"/>
          <w:szCs w:val="18"/>
        </w:rPr>
        <w:t>しました</w:t>
      </w:r>
      <w:r w:rsidRPr="00D34E24">
        <w:rPr>
          <w:rFonts w:asciiTheme="majorEastAsia" w:eastAsiaTheme="majorEastAsia" w:hAnsiTheme="majorEastAsia" w:cs="Times New Roman"/>
          <w:sz w:val="20"/>
          <w:szCs w:val="18"/>
        </w:rPr>
        <w:t>。</w:t>
      </w:r>
    </w:p>
    <w:p w:rsidR="00D34E24" w:rsidRPr="00D34E24" w:rsidRDefault="00D34E24" w:rsidP="008035D6">
      <w:pPr>
        <w:widowControl/>
        <w:spacing w:line="240" w:lineRule="exact"/>
        <w:ind w:firstLineChars="100" w:firstLine="200"/>
        <w:rPr>
          <w:rFonts w:asciiTheme="majorEastAsia" w:eastAsiaTheme="majorEastAsia" w:hAnsiTheme="majorEastAsia" w:cs="Times New Roman"/>
          <w:sz w:val="20"/>
          <w:szCs w:val="18"/>
        </w:rPr>
      </w:pPr>
    </w:p>
    <w:p w:rsidR="005C14EA" w:rsidRDefault="005C14EA" w:rsidP="005C14EA">
      <w:pPr>
        <w:widowControl/>
        <w:snapToGrid w:val="0"/>
        <w:spacing w:line="240" w:lineRule="atLeast"/>
        <w:ind w:firstLineChars="100" w:firstLine="200"/>
        <w:rPr>
          <w:rFonts w:asciiTheme="majorEastAsia" w:eastAsiaTheme="majorEastAsia" w:hAnsiTheme="majorEastAsia" w:cs="Times New Roman"/>
          <w:sz w:val="20"/>
          <w:szCs w:val="20"/>
        </w:rPr>
      </w:pPr>
      <w:r w:rsidRPr="00D34E24">
        <w:rPr>
          <w:rFonts w:asciiTheme="majorEastAsia" w:eastAsiaTheme="majorEastAsia" w:hAnsiTheme="majorEastAsia" w:cs="Times New Roman"/>
          <w:sz w:val="20"/>
          <w:szCs w:val="20"/>
        </w:rPr>
        <w:t>情報収集・整理の対象は、水道</w:t>
      </w:r>
      <w:r w:rsidR="00FD3336" w:rsidRPr="00D34E24">
        <w:rPr>
          <w:rFonts w:asciiTheme="majorEastAsia" w:eastAsiaTheme="majorEastAsia" w:hAnsiTheme="majorEastAsia" w:cs="Times New Roman"/>
          <w:sz w:val="20"/>
          <w:szCs w:val="20"/>
        </w:rPr>
        <w:t>の</w:t>
      </w:r>
      <w:r w:rsidRPr="00D34E24">
        <w:rPr>
          <w:rFonts w:asciiTheme="majorEastAsia" w:eastAsiaTheme="majorEastAsia" w:hAnsiTheme="majorEastAsia" w:cs="Times New Roman"/>
          <w:sz w:val="20"/>
          <w:szCs w:val="20"/>
        </w:rPr>
        <w:t>水質基準項目</w:t>
      </w:r>
      <w:r w:rsidR="00FD3336" w:rsidRPr="00D34E24">
        <w:rPr>
          <w:rFonts w:asciiTheme="majorEastAsia" w:eastAsiaTheme="majorEastAsia" w:hAnsiTheme="majorEastAsia" w:cs="Times New Roman"/>
          <w:sz w:val="20"/>
          <w:szCs w:val="20"/>
        </w:rPr>
        <w:t>関連物質等</w:t>
      </w:r>
      <w:r w:rsidRPr="00D34E24">
        <w:rPr>
          <w:rFonts w:asciiTheme="majorEastAsia" w:eastAsiaTheme="majorEastAsia" w:hAnsiTheme="majorEastAsia" w:cs="Times New Roman"/>
          <w:sz w:val="20"/>
          <w:szCs w:val="20"/>
        </w:rPr>
        <w:t>及びPRTR対象化学物質から、</w:t>
      </w:r>
      <w:r w:rsidR="00FD3336" w:rsidRPr="00D34E24">
        <w:rPr>
          <w:rFonts w:asciiTheme="majorEastAsia" w:eastAsiaTheme="majorEastAsia" w:hAnsiTheme="majorEastAsia" w:cs="Times New Roman"/>
          <w:sz w:val="20"/>
          <w:szCs w:val="20"/>
        </w:rPr>
        <w:t>詳細検討が困難な項目</w:t>
      </w:r>
      <w:r w:rsidR="00D34E24">
        <w:rPr>
          <w:rFonts w:asciiTheme="majorEastAsia" w:eastAsiaTheme="majorEastAsia" w:hAnsiTheme="majorEastAsia" w:cs="Times New Roman"/>
          <w:sz w:val="20"/>
          <w:szCs w:val="20"/>
        </w:rPr>
        <w:t>等を除いて設定しました</w:t>
      </w:r>
      <w:r w:rsidRPr="00D34E24">
        <w:rPr>
          <w:rFonts w:asciiTheme="majorEastAsia" w:eastAsiaTheme="majorEastAsia" w:hAnsiTheme="majorEastAsia" w:cs="Times New Roman"/>
          <w:sz w:val="20"/>
          <w:szCs w:val="20"/>
        </w:rPr>
        <w:t>。</w:t>
      </w:r>
      <w:r w:rsidR="00D56A0C">
        <w:rPr>
          <w:rFonts w:asciiTheme="majorEastAsia" w:eastAsiaTheme="majorEastAsia" w:hAnsiTheme="majorEastAsia" w:cs="Times New Roman"/>
          <w:sz w:val="20"/>
          <w:szCs w:val="20"/>
        </w:rPr>
        <w:t>まだ、特に浄水処理について情報集中で有り、暫定的ではありますが、</w:t>
      </w:r>
      <w:r w:rsidR="00E9217C">
        <w:rPr>
          <w:rFonts w:asciiTheme="majorEastAsia" w:eastAsiaTheme="majorEastAsia" w:hAnsiTheme="majorEastAsia" w:cs="Times New Roman"/>
          <w:sz w:val="20"/>
          <w:szCs w:val="20"/>
        </w:rPr>
        <w:t>2017</w:t>
      </w:r>
      <w:r w:rsidR="00D56A0C">
        <w:rPr>
          <w:rFonts w:asciiTheme="majorEastAsia" w:eastAsiaTheme="majorEastAsia" w:hAnsiTheme="majorEastAsia" w:cs="Times New Roman"/>
          <w:sz w:val="20"/>
          <w:szCs w:val="20"/>
        </w:rPr>
        <w:t>年</w:t>
      </w:r>
      <w:r w:rsidR="00E9217C">
        <w:rPr>
          <w:rFonts w:asciiTheme="majorEastAsia" w:eastAsiaTheme="majorEastAsia" w:hAnsiTheme="majorEastAsia" w:cs="Times New Roman"/>
          <w:sz w:val="20"/>
          <w:szCs w:val="20"/>
        </w:rPr>
        <w:t>3月</w:t>
      </w:r>
      <w:bookmarkStart w:id="0" w:name="_GoBack"/>
      <w:bookmarkEnd w:id="0"/>
      <w:r w:rsidR="00D56A0C">
        <w:rPr>
          <w:rFonts w:asciiTheme="majorEastAsia" w:eastAsiaTheme="majorEastAsia" w:hAnsiTheme="majorEastAsia" w:cs="Times New Roman"/>
          <w:sz w:val="20"/>
          <w:szCs w:val="20"/>
        </w:rPr>
        <w:t>版を公開します。</w:t>
      </w:r>
      <w:r w:rsidR="00D34E24">
        <w:rPr>
          <w:rFonts w:asciiTheme="majorEastAsia" w:eastAsiaTheme="majorEastAsia" w:hAnsiTheme="majorEastAsia" w:cs="Times New Roman"/>
          <w:sz w:val="20"/>
          <w:szCs w:val="20"/>
        </w:rPr>
        <w:t>詳細は以下の通りです。</w:t>
      </w:r>
    </w:p>
    <w:p w:rsidR="00D34E24" w:rsidRDefault="00D34E24" w:rsidP="005C14EA">
      <w:pPr>
        <w:widowControl/>
        <w:snapToGrid w:val="0"/>
        <w:spacing w:line="240" w:lineRule="atLeast"/>
        <w:ind w:firstLineChars="100" w:firstLine="200"/>
        <w:rPr>
          <w:rFonts w:asciiTheme="majorEastAsia" w:eastAsiaTheme="majorEastAsia" w:hAnsiTheme="majorEastAsia" w:cs="Times New Roman"/>
          <w:sz w:val="20"/>
          <w:szCs w:val="20"/>
        </w:rPr>
      </w:pPr>
    </w:p>
    <w:p w:rsidR="00D34E24" w:rsidRDefault="00D34E24" w:rsidP="00D34E24">
      <w:pPr>
        <w:widowControl/>
        <w:snapToGrid w:val="0"/>
        <w:spacing w:line="240" w:lineRule="atLeast"/>
        <w:ind w:firstLineChars="100" w:firstLine="200"/>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なお、本</w:t>
      </w:r>
      <w:r w:rsidRPr="00D34E24">
        <w:rPr>
          <w:rFonts w:asciiTheme="majorEastAsia" w:eastAsiaTheme="majorEastAsia" w:hAnsiTheme="majorEastAsia" w:cs="Times New Roman" w:hint="eastAsia"/>
          <w:sz w:val="20"/>
          <w:szCs w:val="20"/>
        </w:rPr>
        <w:t>研究は厚生労働科学研究費補助金「水道水における水質リスクおよび管理に関する総合研究」（研究代表者：松井佳彦）（H25-健危－一般－007）及び厚生労働省の協力により行われ</w:t>
      </w:r>
      <w:r>
        <w:rPr>
          <w:rFonts w:asciiTheme="majorEastAsia" w:eastAsiaTheme="majorEastAsia" w:hAnsiTheme="majorEastAsia" w:cs="Times New Roman" w:hint="eastAsia"/>
          <w:sz w:val="20"/>
          <w:szCs w:val="20"/>
        </w:rPr>
        <w:t>ました</w:t>
      </w:r>
      <w:r w:rsidRPr="00D34E24">
        <w:rPr>
          <w:rFonts w:asciiTheme="majorEastAsia" w:eastAsiaTheme="majorEastAsia" w:hAnsiTheme="majorEastAsia" w:cs="Times New Roman" w:hint="eastAsia"/>
          <w:sz w:val="20"/>
          <w:szCs w:val="20"/>
        </w:rPr>
        <w:t>。ただし、毒性評価はあくまでも試行的に行われたものであ</w:t>
      </w:r>
      <w:r>
        <w:rPr>
          <w:rFonts w:asciiTheme="majorEastAsia" w:eastAsiaTheme="majorEastAsia" w:hAnsiTheme="majorEastAsia" w:cs="Times New Roman" w:hint="eastAsia"/>
          <w:sz w:val="20"/>
          <w:szCs w:val="20"/>
        </w:rPr>
        <w:t>る点にご留意下さい</w:t>
      </w:r>
      <w:r w:rsidRPr="00D34E24">
        <w:rPr>
          <w:rFonts w:asciiTheme="majorEastAsia" w:eastAsiaTheme="majorEastAsia" w:hAnsiTheme="majorEastAsia" w:cs="Times New Roman" w:hint="eastAsia"/>
          <w:sz w:val="20"/>
          <w:szCs w:val="20"/>
        </w:rPr>
        <w:t>。</w:t>
      </w:r>
    </w:p>
    <w:p w:rsidR="00D34E24" w:rsidRDefault="00D34E24" w:rsidP="00D34E24">
      <w:pPr>
        <w:widowControl/>
        <w:snapToGrid w:val="0"/>
        <w:spacing w:line="240" w:lineRule="atLeast"/>
        <w:rPr>
          <w:rFonts w:asciiTheme="majorEastAsia" w:eastAsiaTheme="majorEastAsia" w:hAnsiTheme="majorEastAsia" w:cs="Times New Roman"/>
          <w:sz w:val="20"/>
          <w:szCs w:val="20"/>
        </w:rPr>
      </w:pPr>
    </w:p>
    <w:p w:rsidR="00D34E24" w:rsidRDefault="00D34E24" w:rsidP="00D34E24">
      <w:pPr>
        <w:widowControl/>
        <w:snapToGrid w:val="0"/>
        <w:spacing w:line="240" w:lineRule="atLeast"/>
        <w:rPr>
          <w:rFonts w:asciiTheme="majorEastAsia" w:eastAsiaTheme="majorEastAsia" w:hAnsiTheme="majorEastAsia" w:cs="Times New Roman"/>
          <w:sz w:val="20"/>
          <w:szCs w:val="20"/>
        </w:rPr>
      </w:pPr>
    </w:p>
    <w:p w:rsidR="00D34E24" w:rsidRDefault="00D34E24" w:rsidP="00D34E24">
      <w:pPr>
        <w:widowControl/>
        <w:snapToGrid w:val="0"/>
        <w:spacing w:line="240" w:lineRule="atLeast"/>
        <w:rPr>
          <w:rFonts w:asciiTheme="majorEastAsia" w:eastAsiaTheme="majorEastAsia" w:hAnsiTheme="majorEastAsia" w:cs="Times New Roman"/>
          <w:szCs w:val="20"/>
        </w:rPr>
      </w:pPr>
      <w:r w:rsidRPr="00D34E24">
        <w:rPr>
          <w:rFonts w:asciiTheme="majorEastAsia" w:eastAsiaTheme="majorEastAsia" w:hAnsiTheme="majorEastAsia" w:cs="Times New Roman" w:hint="eastAsia"/>
          <w:b/>
          <w:szCs w:val="20"/>
        </w:rPr>
        <w:t>＜対象・毒性情報・検出状況収集の手順の概要＞</w:t>
      </w:r>
    </w:p>
    <w:p w:rsidR="00D34E24" w:rsidRPr="00D34E24" w:rsidRDefault="00D34E24" w:rsidP="00D34E24">
      <w:pPr>
        <w:widowControl/>
        <w:snapToGrid w:val="0"/>
        <w:spacing w:line="240" w:lineRule="atLeast"/>
        <w:ind w:firstLineChars="100" w:firstLine="210"/>
        <w:rPr>
          <w:rFonts w:asciiTheme="majorEastAsia" w:eastAsiaTheme="majorEastAsia" w:hAnsiTheme="majorEastAsia" w:cs="Times New Roman"/>
          <w:b/>
          <w:szCs w:val="20"/>
        </w:rPr>
      </w:pPr>
      <w:r w:rsidRPr="00D34E24">
        <w:rPr>
          <w:rFonts w:asciiTheme="majorEastAsia" w:eastAsiaTheme="majorEastAsia" w:hAnsiTheme="majorEastAsia" w:cs="Times New Roman" w:hint="eastAsia"/>
          <w:szCs w:val="20"/>
        </w:rPr>
        <w:t>詳細は</w:t>
      </w:r>
      <w:r w:rsidRPr="00D34E24">
        <w:rPr>
          <w:rFonts w:asciiTheme="majorEastAsia" w:eastAsiaTheme="majorEastAsia" w:hAnsiTheme="majorEastAsia" w:cs="Times New Roman" w:hint="eastAsia"/>
          <w:sz w:val="20"/>
          <w:szCs w:val="20"/>
        </w:rPr>
        <w:t>「水道水における水質リスクおよび管理に関する総合研究」H27報告書抜粋をご参照下さい。</w:t>
      </w:r>
    </w:p>
    <w:p w:rsidR="00D34E24" w:rsidRDefault="00D34E24" w:rsidP="00D34E24">
      <w:pPr>
        <w:widowControl/>
        <w:snapToGrid w:val="0"/>
        <w:spacing w:line="240" w:lineRule="atLeast"/>
        <w:rPr>
          <w:rFonts w:asciiTheme="majorEastAsia" w:eastAsiaTheme="majorEastAsia" w:hAnsiTheme="majorEastAsia" w:cs="Times New Roman"/>
          <w:sz w:val="20"/>
          <w:szCs w:val="20"/>
        </w:rPr>
      </w:pPr>
    </w:p>
    <w:p w:rsidR="00D34E24" w:rsidRDefault="00D34E24" w:rsidP="00D34E24">
      <w:pPr>
        <w:widowControl/>
        <w:snapToGrid w:val="0"/>
        <w:spacing w:line="240" w:lineRule="atLeast"/>
        <w:rPr>
          <w:rFonts w:asciiTheme="majorEastAsia" w:eastAsiaTheme="majorEastAsia" w:hAnsiTheme="majorEastAsia" w:cs="Times New Roman"/>
          <w:sz w:val="20"/>
          <w:szCs w:val="20"/>
        </w:rPr>
      </w:pPr>
      <w:r>
        <w:rPr>
          <w:rFonts w:asciiTheme="majorEastAsia" w:eastAsiaTheme="majorEastAsia" w:hAnsiTheme="majorEastAsia" w:cs="Times New Roman"/>
          <w:b/>
          <w:sz w:val="22"/>
          <w:szCs w:val="20"/>
        </w:rPr>
        <w:t>１</w:t>
      </w:r>
      <w:r w:rsidRPr="00D34E24">
        <w:rPr>
          <w:rFonts w:asciiTheme="majorEastAsia" w:eastAsiaTheme="majorEastAsia" w:hAnsiTheme="majorEastAsia" w:cs="Times New Roman"/>
          <w:b/>
          <w:sz w:val="22"/>
          <w:szCs w:val="20"/>
        </w:rPr>
        <w:t>.対象物質</w:t>
      </w:r>
    </w:p>
    <w:p w:rsidR="00D34E24" w:rsidRPr="00D34E24" w:rsidRDefault="00D34E24" w:rsidP="005C14EA">
      <w:pPr>
        <w:widowControl/>
        <w:snapToGrid w:val="0"/>
        <w:spacing w:line="240" w:lineRule="atLeast"/>
        <w:ind w:firstLineChars="100" w:firstLine="200"/>
        <w:rPr>
          <w:rFonts w:asciiTheme="majorEastAsia" w:eastAsiaTheme="majorEastAsia" w:hAnsiTheme="majorEastAsia" w:cs="Times New Roman"/>
          <w:sz w:val="20"/>
          <w:szCs w:val="20"/>
        </w:rPr>
      </w:pPr>
    </w:p>
    <w:p w:rsidR="005C14EA" w:rsidRPr="00D34E24" w:rsidRDefault="005C14EA" w:rsidP="005C14EA">
      <w:pPr>
        <w:widowControl/>
        <w:snapToGrid w:val="0"/>
        <w:spacing w:line="240" w:lineRule="atLeast"/>
        <w:rPr>
          <w:rFonts w:asciiTheme="majorEastAsia" w:eastAsiaTheme="majorEastAsia" w:hAnsiTheme="majorEastAsia" w:cs="Times New Roman"/>
          <w:sz w:val="20"/>
          <w:szCs w:val="20"/>
        </w:rPr>
      </w:pPr>
      <w:r w:rsidRPr="00D34E24">
        <w:rPr>
          <w:rFonts w:asciiTheme="majorEastAsia" w:eastAsiaTheme="majorEastAsia" w:hAnsiTheme="majorEastAsia" w:cs="Times New Roman"/>
          <w:sz w:val="20"/>
          <w:szCs w:val="20"/>
        </w:rPr>
        <w:t>(1)対象物質の基本的な範囲</w:t>
      </w:r>
    </w:p>
    <w:tbl>
      <w:tblPr>
        <w:tblpPr w:leftFromText="142" w:rightFromText="142" w:vertAnchor="text" w:horzAnchor="margin" w:tblpXSpec="right" w:tblpY="-43"/>
        <w:tblOverlap w:val="never"/>
        <w:tblW w:w="4280" w:type="dxa"/>
        <w:tblCellMar>
          <w:left w:w="99" w:type="dxa"/>
          <w:right w:w="99" w:type="dxa"/>
        </w:tblCellMar>
        <w:tblLook w:val="04A0" w:firstRow="1" w:lastRow="0" w:firstColumn="1" w:lastColumn="0" w:noHBand="0" w:noVBand="1"/>
      </w:tblPr>
      <w:tblGrid>
        <w:gridCol w:w="540"/>
        <w:gridCol w:w="2700"/>
        <w:gridCol w:w="1040"/>
      </w:tblGrid>
      <w:tr w:rsidR="005C14EA" w:rsidRPr="00D34E24" w:rsidTr="00E91986">
        <w:trPr>
          <w:cantSplit/>
          <w:trHeight w:val="284"/>
        </w:trPr>
        <w:tc>
          <w:tcPr>
            <w:tcW w:w="540" w:type="dxa"/>
            <w:tcBorders>
              <w:top w:val="nil"/>
              <w:left w:val="nil"/>
              <w:bottom w:val="nil"/>
              <w:right w:val="nil"/>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p>
        </w:tc>
        <w:tc>
          <w:tcPr>
            <w:tcW w:w="2700" w:type="dxa"/>
            <w:tcBorders>
              <w:top w:val="nil"/>
              <w:left w:val="nil"/>
              <w:bottom w:val="nil"/>
              <w:right w:val="nil"/>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表 1　対象物質の範囲</w:t>
            </w:r>
          </w:p>
        </w:tc>
        <w:tc>
          <w:tcPr>
            <w:tcW w:w="1040" w:type="dxa"/>
            <w:tcBorders>
              <w:top w:val="nil"/>
              <w:left w:val="nil"/>
              <w:bottom w:val="nil"/>
              <w:right w:val="nil"/>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p>
        </w:tc>
      </w:tr>
      <w:tr w:rsidR="005C14EA" w:rsidRPr="00D34E24" w:rsidTr="00E91986">
        <w:trPr>
          <w:cantSplit/>
          <w:trHeight w:val="284"/>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 xml:space="preserve">　</w:t>
            </w:r>
          </w:p>
        </w:tc>
        <w:tc>
          <w:tcPr>
            <w:tcW w:w="2700" w:type="dxa"/>
            <w:tcBorders>
              <w:top w:val="single" w:sz="8" w:space="0" w:color="auto"/>
              <w:left w:val="nil"/>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項目</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物質数</w:t>
            </w:r>
          </w:p>
        </w:tc>
      </w:tr>
      <w:tr w:rsidR="005C14EA" w:rsidRPr="00D34E24" w:rsidTr="00E91986">
        <w:trPr>
          <w:cantSplit/>
          <w:trHeight w:val="284"/>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righ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1</w:t>
            </w:r>
          </w:p>
        </w:tc>
        <w:tc>
          <w:tcPr>
            <w:tcW w:w="2700" w:type="dxa"/>
            <w:tcBorders>
              <w:top w:val="nil"/>
              <w:left w:val="nil"/>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水質基準項目</w:t>
            </w:r>
          </w:p>
        </w:tc>
        <w:tc>
          <w:tcPr>
            <w:tcW w:w="1040" w:type="dxa"/>
            <w:tcBorders>
              <w:top w:val="nil"/>
              <w:left w:val="nil"/>
              <w:bottom w:val="single" w:sz="4" w:space="0" w:color="auto"/>
              <w:right w:val="single" w:sz="8" w:space="0" w:color="auto"/>
            </w:tcBorders>
            <w:shd w:val="clear" w:color="auto" w:fill="auto"/>
            <w:noWrap/>
            <w:vAlign w:val="center"/>
            <w:hideMark/>
          </w:tcPr>
          <w:p w:rsidR="005C14EA" w:rsidRPr="00D34E24" w:rsidRDefault="005C14EA" w:rsidP="00E91986">
            <w:pPr>
              <w:widowControl/>
              <w:snapToGrid w:val="0"/>
              <w:spacing w:line="240" w:lineRule="atLeast"/>
              <w:jc w:val="center"/>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51</w:t>
            </w:r>
            <w:r w:rsidR="008035D6" w:rsidRPr="00D34E24">
              <w:rPr>
                <w:rFonts w:asciiTheme="majorEastAsia" w:eastAsiaTheme="majorEastAsia" w:hAnsiTheme="majorEastAsia" w:cs="Times New Roman"/>
                <w:color w:val="000000"/>
                <w:kern w:val="0"/>
                <w:sz w:val="20"/>
                <w:szCs w:val="20"/>
              </w:rPr>
              <w:t>*</w:t>
            </w:r>
          </w:p>
        </w:tc>
      </w:tr>
      <w:tr w:rsidR="005C14EA" w:rsidRPr="00D34E24" w:rsidTr="00E91986">
        <w:trPr>
          <w:cantSplit/>
          <w:trHeight w:val="284"/>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righ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2</w:t>
            </w:r>
          </w:p>
        </w:tc>
        <w:tc>
          <w:tcPr>
            <w:tcW w:w="2700" w:type="dxa"/>
            <w:tcBorders>
              <w:top w:val="nil"/>
              <w:left w:val="nil"/>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水質管理目標設定項目</w:t>
            </w:r>
          </w:p>
        </w:tc>
        <w:tc>
          <w:tcPr>
            <w:tcW w:w="1040" w:type="dxa"/>
            <w:tcBorders>
              <w:top w:val="nil"/>
              <w:left w:val="nil"/>
              <w:bottom w:val="single" w:sz="4" w:space="0" w:color="auto"/>
              <w:right w:val="single" w:sz="8" w:space="0" w:color="auto"/>
            </w:tcBorders>
            <w:shd w:val="clear" w:color="auto" w:fill="auto"/>
            <w:noWrap/>
            <w:vAlign w:val="center"/>
            <w:hideMark/>
          </w:tcPr>
          <w:p w:rsidR="005C14EA" w:rsidRPr="00D34E24" w:rsidRDefault="005C14EA" w:rsidP="00E91986">
            <w:pPr>
              <w:widowControl/>
              <w:snapToGrid w:val="0"/>
              <w:spacing w:line="240" w:lineRule="atLeast"/>
              <w:jc w:val="center"/>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26</w:t>
            </w:r>
            <w:r w:rsidR="008035D6" w:rsidRPr="00D34E24">
              <w:rPr>
                <w:rFonts w:asciiTheme="majorEastAsia" w:eastAsiaTheme="majorEastAsia" w:hAnsiTheme="majorEastAsia" w:cs="Times New Roman"/>
                <w:color w:val="000000"/>
                <w:kern w:val="0"/>
                <w:sz w:val="20"/>
                <w:szCs w:val="20"/>
              </w:rPr>
              <w:t>*</w:t>
            </w:r>
          </w:p>
        </w:tc>
      </w:tr>
      <w:tr w:rsidR="005C14EA" w:rsidRPr="00D34E24" w:rsidTr="00E91986">
        <w:trPr>
          <w:cantSplit/>
          <w:trHeight w:val="284"/>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righ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3</w:t>
            </w:r>
          </w:p>
        </w:tc>
        <w:tc>
          <w:tcPr>
            <w:tcW w:w="2700" w:type="dxa"/>
            <w:tcBorders>
              <w:top w:val="nil"/>
              <w:left w:val="nil"/>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要検討項目</w:t>
            </w:r>
          </w:p>
        </w:tc>
        <w:tc>
          <w:tcPr>
            <w:tcW w:w="1040" w:type="dxa"/>
            <w:tcBorders>
              <w:top w:val="nil"/>
              <w:left w:val="nil"/>
              <w:bottom w:val="single" w:sz="4" w:space="0" w:color="auto"/>
              <w:right w:val="single" w:sz="8" w:space="0" w:color="auto"/>
            </w:tcBorders>
            <w:shd w:val="clear" w:color="auto" w:fill="auto"/>
            <w:noWrap/>
            <w:vAlign w:val="center"/>
            <w:hideMark/>
          </w:tcPr>
          <w:p w:rsidR="005C14EA" w:rsidRPr="00D34E24" w:rsidRDefault="005C14EA" w:rsidP="00E91986">
            <w:pPr>
              <w:widowControl/>
              <w:snapToGrid w:val="0"/>
              <w:spacing w:line="240" w:lineRule="atLeast"/>
              <w:jc w:val="center"/>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47</w:t>
            </w:r>
            <w:r w:rsidR="008035D6" w:rsidRPr="00D34E24">
              <w:rPr>
                <w:rFonts w:asciiTheme="majorEastAsia" w:eastAsiaTheme="majorEastAsia" w:hAnsiTheme="majorEastAsia" w:cs="Times New Roman"/>
                <w:color w:val="000000"/>
                <w:kern w:val="0"/>
                <w:sz w:val="20"/>
                <w:szCs w:val="20"/>
              </w:rPr>
              <w:t>*</w:t>
            </w:r>
          </w:p>
        </w:tc>
      </w:tr>
      <w:tr w:rsidR="005C14EA" w:rsidRPr="00D34E24" w:rsidTr="00E91986">
        <w:trPr>
          <w:cantSplit/>
          <w:trHeight w:val="284"/>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righ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4</w:t>
            </w:r>
          </w:p>
        </w:tc>
        <w:tc>
          <w:tcPr>
            <w:tcW w:w="2700" w:type="dxa"/>
            <w:tcBorders>
              <w:top w:val="nil"/>
              <w:left w:val="nil"/>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農薬類の対象農薬</w:t>
            </w:r>
          </w:p>
        </w:tc>
        <w:tc>
          <w:tcPr>
            <w:tcW w:w="1040" w:type="dxa"/>
            <w:tcBorders>
              <w:top w:val="nil"/>
              <w:left w:val="nil"/>
              <w:bottom w:val="single" w:sz="4" w:space="0" w:color="auto"/>
              <w:right w:val="single" w:sz="8" w:space="0" w:color="auto"/>
            </w:tcBorders>
            <w:shd w:val="clear" w:color="auto" w:fill="auto"/>
            <w:noWrap/>
            <w:vAlign w:val="center"/>
            <w:hideMark/>
          </w:tcPr>
          <w:p w:rsidR="005C14EA" w:rsidRPr="00D34E24" w:rsidRDefault="005C14EA" w:rsidP="00E91986">
            <w:pPr>
              <w:widowControl/>
              <w:snapToGrid w:val="0"/>
              <w:spacing w:line="240" w:lineRule="atLeast"/>
              <w:jc w:val="center"/>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120</w:t>
            </w:r>
            <w:r w:rsidR="008035D6" w:rsidRPr="00D34E24">
              <w:rPr>
                <w:rFonts w:asciiTheme="majorEastAsia" w:eastAsiaTheme="majorEastAsia" w:hAnsiTheme="majorEastAsia" w:cs="Times New Roman"/>
                <w:color w:val="000000"/>
                <w:kern w:val="0"/>
                <w:sz w:val="20"/>
                <w:szCs w:val="20"/>
              </w:rPr>
              <w:t>*</w:t>
            </w:r>
          </w:p>
        </w:tc>
      </w:tr>
      <w:tr w:rsidR="005C14EA" w:rsidRPr="00D34E24" w:rsidTr="00E91986">
        <w:trPr>
          <w:cantSplit/>
          <w:trHeight w:val="284"/>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righ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5</w:t>
            </w:r>
          </w:p>
        </w:tc>
        <w:tc>
          <w:tcPr>
            <w:tcW w:w="2700" w:type="dxa"/>
            <w:tcBorders>
              <w:top w:val="nil"/>
              <w:left w:val="nil"/>
              <w:bottom w:val="single" w:sz="4"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浄水処理対応困難物質</w:t>
            </w:r>
          </w:p>
        </w:tc>
        <w:tc>
          <w:tcPr>
            <w:tcW w:w="1040" w:type="dxa"/>
            <w:tcBorders>
              <w:top w:val="nil"/>
              <w:left w:val="nil"/>
              <w:bottom w:val="single" w:sz="4" w:space="0" w:color="auto"/>
              <w:right w:val="single" w:sz="8" w:space="0" w:color="auto"/>
            </w:tcBorders>
            <w:shd w:val="clear" w:color="auto" w:fill="auto"/>
            <w:noWrap/>
            <w:vAlign w:val="center"/>
            <w:hideMark/>
          </w:tcPr>
          <w:p w:rsidR="005C14EA" w:rsidRPr="00D34E24" w:rsidRDefault="005C14EA" w:rsidP="00E91986">
            <w:pPr>
              <w:widowControl/>
              <w:snapToGrid w:val="0"/>
              <w:spacing w:line="240" w:lineRule="atLeast"/>
              <w:jc w:val="center"/>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14</w:t>
            </w:r>
            <w:r w:rsidR="008035D6" w:rsidRPr="00D34E24">
              <w:rPr>
                <w:rFonts w:asciiTheme="majorEastAsia" w:eastAsiaTheme="majorEastAsia" w:hAnsiTheme="majorEastAsia" w:cs="Times New Roman"/>
                <w:color w:val="000000"/>
                <w:kern w:val="0"/>
                <w:sz w:val="20"/>
                <w:szCs w:val="20"/>
              </w:rPr>
              <w:t>*</w:t>
            </w:r>
          </w:p>
        </w:tc>
      </w:tr>
      <w:tr w:rsidR="005C14EA" w:rsidRPr="00D34E24" w:rsidTr="00E91986">
        <w:trPr>
          <w:cantSplit/>
          <w:trHeight w:val="284"/>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righ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6</w:t>
            </w:r>
          </w:p>
        </w:tc>
        <w:tc>
          <w:tcPr>
            <w:tcW w:w="2700" w:type="dxa"/>
            <w:tcBorders>
              <w:top w:val="nil"/>
              <w:left w:val="nil"/>
              <w:bottom w:val="single" w:sz="8" w:space="0" w:color="auto"/>
              <w:right w:val="single" w:sz="4" w:space="0" w:color="auto"/>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PRTR対象化学物質</w:t>
            </w:r>
          </w:p>
        </w:tc>
        <w:tc>
          <w:tcPr>
            <w:tcW w:w="1040" w:type="dxa"/>
            <w:tcBorders>
              <w:top w:val="nil"/>
              <w:left w:val="nil"/>
              <w:bottom w:val="single" w:sz="8" w:space="0" w:color="auto"/>
              <w:right w:val="single" w:sz="8" w:space="0" w:color="auto"/>
            </w:tcBorders>
            <w:shd w:val="clear" w:color="auto" w:fill="auto"/>
            <w:noWrap/>
            <w:vAlign w:val="center"/>
            <w:hideMark/>
          </w:tcPr>
          <w:p w:rsidR="005C14EA" w:rsidRPr="00D34E24" w:rsidRDefault="005C14EA" w:rsidP="00E91986">
            <w:pPr>
              <w:widowControl/>
              <w:snapToGrid w:val="0"/>
              <w:spacing w:line="240" w:lineRule="atLeast"/>
              <w:jc w:val="center"/>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462</w:t>
            </w:r>
            <w:r w:rsidR="008035D6" w:rsidRPr="00D34E24">
              <w:rPr>
                <w:rFonts w:asciiTheme="majorEastAsia" w:eastAsiaTheme="majorEastAsia" w:hAnsiTheme="majorEastAsia" w:cs="Times New Roman"/>
                <w:color w:val="000000"/>
                <w:kern w:val="0"/>
                <w:sz w:val="20"/>
                <w:szCs w:val="20"/>
              </w:rPr>
              <w:t>*</w:t>
            </w:r>
          </w:p>
        </w:tc>
      </w:tr>
      <w:tr w:rsidR="008035D6" w:rsidRPr="00D34E24" w:rsidTr="00E91986">
        <w:trPr>
          <w:cantSplit/>
          <w:trHeight w:val="284"/>
        </w:trPr>
        <w:tc>
          <w:tcPr>
            <w:tcW w:w="540" w:type="dxa"/>
            <w:tcBorders>
              <w:top w:val="nil"/>
              <w:left w:val="single" w:sz="8" w:space="0" w:color="auto"/>
              <w:bottom w:val="single" w:sz="8" w:space="0" w:color="auto"/>
              <w:right w:val="single" w:sz="4" w:space="0" w:color="auto"/>
            </w:tcBorders>
            <w:shd w:val="clear" w:color="auto" w:fill="auto"/>
            <w:noWrap/>
            <w:vAlign w:val="center"/>
          </w:tcPr>
          <w:p w:rsidR="008035D6" w:rsidRPr="00D34E24" w:rsidRDefault="008035D6" w:rsidP="00E91986">
            <w:pPr>
              <w:widowControl/>
              <w:snapToGrid w:val="0"/>
              <w:spacing w:line="240" w:lineRule="atLeast"/>
              <w:jc w:val="right"/>
              <w:rPr>
                <w:rFonts w:asciiTheme="majorEastAsia" w:eastAsiaTheme="majorEastAsia" w:hAnsiTheme="majorEastAsia" w:cs="Times New Roman"/>
                <w:color w:val="000000"/>
                <w:kern w:val="0"/>
                <w:sz w:val="20"/>
                <w:szCs w:val="20"/>
              </w:rPr>
            </w:pPr>
          </w:p>
        </w:tc>
        <w:tc>
          <w:tcPr>
            <w:tcW w:w="2700" w:type="dxa"/>
            <w:tcBorders>
              <w:top w:val="nil"/>
              <w:left w:val="nil"/>
              <w:bottom w:val="single" w:sz="8" w:space="0" w:color="auto"/>
              <w:right w:val="single" w:sz="4" w:space="0" w:color="auto"/>
            </w:tcBorders>
            <w:shd w:val="clear" w:color="auto" w:fill="auto"/>
            <w:noWrap/>
            <w:vAlign w:val="center"/>
          </w:tcPr>
          <w:p w:rsidR="008035D6" w:rsidRPr="00D34E24" w:rsidRDefault="00100444" w:rsidP="00100444">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18"/>
                <w:szCs w:val="20"/>
              </w:rPr>
              <w:t xml:space="preserve">対象物質（群）　</w:t>
            </w:r>
            <w:r w:rsidR="008035D6" w:rsidRPr="00D34E24">
              <w:rPr>
                <w:rFonts w:asciiTheme="majorEastAsia" w:eastAsiaTheme="majorEastAsia" w:hAnsiTheme="majorEastAsia" w:cs="Times New Roman"/>
                <w:color w:val="000000"/>
                <w:kern w:val="0"/>
                <w:sz w:val="14"/>
                <w:szCs w:val="20"/>
              </w:rPr>
              <w:t>重複</w:t>
            </w:r>
            <w:r w:rsidRPr="00D34E24">
              <w:rPr>
                <w:rFonts w:asciiTheme="majorEastAsia" w:eastAsiaTheme="majorEastAsia" w:hAnsiTheme="majorEastAsia" w:cs="Times New Roman"/>
                <w:color w:val="000000"/>
                <w:kern w:val="0"/>
                <w:sz w:val="14"/>
                <w:szCs w:val="20"/>
              </w:rPr>
              <w:t>等</w:t>
            </w:r>
            <w:r w:rsidR="008035D6" w:rsidRPr="00D34E24">
              <w:rPr>
                <w:rFonts w:asciiTheme="majorEastAsia" w:eastAsiaTheme="majorEastAsia" w:hAnsiTheme="majorEastAsia" w:cs="Times New Roman"/>
                <w:color w:val="000000"/>
                <w:kern w:val="0"/>
                <w:sz w:val="14"/>
                <w:szCs w:val="20"/>
              </w:rPr>
              <w:t>を削除</w:t>
            </w:r>
          </w:p>
        </w:tc>
        <w:tc>
          <w:tcPr>
            <w:tcW w:w="1040" w:type="dxa"/>
            <w:tcBorders>
              <w:top w:val="nil"/>
              <w:left w:val="nil"/>
              <w:bottom w:val="single" w:sz="8" w:space="0" w:color="auto"/>
              <w:right w:val="single" w:sz="8" w:space="0" w:color="auto"/>
            </w:tcBorders>
            <w:shd w:val="clear" w:color="auto" w:fill="auto"/>
            <w:noWrap/>
            <w:vAlign w:val="center"/>
          </w:tcPr>
          <w:p w:rsidR="008035D6" w:rsidRPr="00D34E24" w:rsidRDefault="008035D6" w:rsidP="00E91986">
            <w:pPr>
              <w:widowControl/>
              <w:snapToGrid w:val="0"/>
              <w:spacing w:line="240" w:lineRule="atLeast"/>
              <w:jc w:val="center"/>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Times New Roman"/>
                <w:color w:val="000000"/>
                <w:kern w:val="0"/>
                <w:sz w:val="20"/>
                <w:szCs w:val="20"/>
              </w:rPr>
              <w:t>702</w:t>
            </w:r>
          </w:p>
        </w:tc>
      </w:tr>
      <w:tr w:rsidR="005C14EA" w:rsidRPr="00D34E24" w:rsidTr="00E91986">
        <w:trPr>
          <w:cantSplit/>
          <w:trHeight w:val="284"/>
        </w:trPr>
        <w:tc>
          <w:tcPr>
            <w:tcW w:w="540" w:type="dxa"/>
            <w:tcBorders>
              <w:top w:val="nil"/>
              <w:left w:val="nil"/>
              <w:bottom w:val="nil"/>
              <w:right w:val="nil"/>
            </w:tcBorders>
            <w:shd w:val="clear" w:color="auto" w:fill="auto"/>
            <w:noWrap/>
            <w:vAlign w:val="center"/>
            <w:hideMark/>
          </w:tcPr>
          <w:p w:rsidR="005C14EA" w:rsidRPr="00D34E24" w:rsidRDefault="005C14EA" w:rsidP="00E91986">
            <w:pPr>
              <w:widowControl/>
              <w:snapToGrid w:val="0"/>
              <w:spacing w:line="240" w:lineRule="atLeast"/>
              <w:jc w:val="left"/>
              <w:rPr>
                <w:rFonts w:asciiTheme="majorEastAsia" w:eastAsiaTheme="majorEastAsia" w:hAnsiTheme="majorEastAsia" w:cs="Times New Roman"/>
                <w:color w:val="000000"/>
                <w:kern w:val="0"/>
                <w:sz w:val="20"/>
                <w:szCs w:val="20"/>
              </w:rPr>
            </w:pPr>
          </w:p>
        </w:tc>
        <w:tc>
          <w:tcPr>
            <w:tcW w:w="3740" w:type="dxa"/>
            <w:gridSpan w:val="2"/>
            <w:tcBorders>
              <w:top w:val="nil"/>
              <w:left w:val="nil"/>
              <w:bottom w:val="nil"/>
              <w:right w:val="nil"/>
            </w:tcBorders>
            <w:shd w:val="clear" w:color="auto" w:fill="auto"/>
            <w:noWrap/>
            <w:vAlign w:val="center"/>
            <w:hideMark/>
          </w:tcPr>
          <w:p w:rsidR="005C14EA" w:rsidRPr="00D34E24" w:rsidRDefault="008035D6" w:rsidP="00E91986">
            <w:pPr>
              <w:widowControl/>
              <w:snapToGrid w:val="0"/>
              <w:spacing w:line="240" w:lineRule="atLeast"/>
              <w:jc w:val="left"/>
              <w:rPr>
                <w:rFonts w:asciiTheme="majorEastAsia" w:eastAsiaTheme="majorEastAsia" w:hAnsiTheme="majorEastAsia" w:cs="Times New Roman"/>
                <w:color w:val="000000"/>
                <w:kern w:val="0"/>
                <w:sz w:val="20"/>
                <w:szCs w:val="20"/>
              </w:rPr>
            </w:pPr>
            <w:r w:rsidRPr="00D34E24">
              <w:rPr>
                <w:rFonts w:asciiTheme="majorEastAsia" w:eastAsiaTheme="majorEastAsia" w:hAnsiTheme="majorEastAsia" w:cs="ＭＳ 明朝" w:hint="eastAsia"/>
                <w:color w:val="000000"/>
                <w:kern w:val="0"/>
                <w:sz w:val="20"/>
                <w:szCs w:val="20"/>
              </w:rPr>
              <w:t>*</w:t>
            </w:r>
            <w:r w:rsidR="005C14EA" w:rsidRPr="00D34E24">
              <w:rPr>
                <w:rFonts w:asciiTheme="majorEastAsia" w:eastAsiaTheme="majorEastAsia" w:hAnsiTheme="majorEastAsia" w:cs="Times New Roman"/>
                <w:color w:val="000000"/>
                <w:kern w:val="0"/>
                <w:sz w:val="20"/>
                <w:szCs w:val="20"/>
              </w:rPr>
              <w:t>項目間で重複する物質を含む。</w:t>
            </w:r>
          </w:p>
          <w:p w:rsidR="008035D6" w:rsidRPr="00D34E24" w:rsidRDefault="008035D6" w:rsidP="00E91986">
            <w:pPr>
              <w:widowControl/>
              <w:snapToGrid w:val="0"/>
              <w:spacing w:line="240" w:lineRule="atLeast"/>
              <w:jc w:val="left"/>
              <w:rPr>
                <w:rFonts w:asciiTheme="majorEastAsia" w:eastAsiaTheme="majorEastAsia" w:hAnsiTheme="majorEastAsia" w:cs="Times New Roman"/>
                <w:color w:val="000000"/>
                <w:kern w:val="0"/>
                <w:sz w:val="20"/>
                <w:szCs w:val="20"/>
              </w:rPr>
            </w:pPr>
          </w:p>
        </w:tc>
      </w:tr>
    </w:tbl>
    <w:p w:rsidR="005C14EA" w:rsidRPr="00D34E24" w:rsidRDefault="005C14EA" w:rsidP="005C14EA">
      <w:pPr>
        <w:widowControl/>
        <w:snapToGrid w:val="0"/>
        <w:spacing w:line="240" w:lineRule="atLeast"/>
        <w:ind w:firstLineChars="100" w:firstLine="200"/>
        <w:rPr>
          <w:rFonts w:asciiTheme="majorEastAsia" w:eastAsiaTheme="majorEastAsia" w:hAnsiTheme="majorEastAsia" w:cs="Times New Roman"/>
          <w:sz w:val="20"/>
          <w:szCs w:val="20"/>
        </w:rPr>
      </w:pPr>
      <w:r w:rsidRPr="00D34E24">
        <w:rPr>
          <w:rFonts w:asciiTheme="majorEastAsia" w:eastAsiaTheme="majorEastAsia" w:hAnsiTheme="majorEastAsia" w:cs="Times New Roman"/>
          <w:sz w:val="20"/>
          <w:szCs w:val="20"/>
        </w:rPr>
        <w:t>検討を行う基本的な範囲を表 1</w:t>
      </w:r>
      <w:r w:rsidR="00E0235F" w:rsidRPr="00D34E24">
        <w:rPr>
          <w:rFonts w:asciiTheme="majorEastAsia" w:eastAsiaTheme="majorEastAsia" w:hAnsiTheme="majorEastAsia" w:cs="Times New Roman"/>
          <w:sz w:val="20"/>
          <w:szCs w:val="20"/>
        </w:rPr>
        <w:t>のとおりとした。これらの項目のうち、硬度などの物性値</w:t>
      </w:r>
      <w:r w:rsidRPr="00D34E24">
        <w:rPr>
          <w:rFonts w:asciiTheme="majorEastAsia" w:eastAsiaTheme="majorEastAsia" w:hAnsiTheme="majorEastAsia" w:cs="Times New Roman"/>
          <w:sz w:val="20"/>
          <w:szCs w:val="20"/>
        </w:rPr>
        <w:t>、天然異臭味、金属類、界面活性剤、その他</w:t>
      </w:r>
      <w:r w:rsidR="00E0235F" w:rsidRPr="00D34E24">
        <w:rPr>
          <w:rFonts w:asciiTheme="majorEastAsia" w:eastAsiaTheme="majorEastAsia" w:hAnsiTheme="majorEastAsia" w:cs="Times New Roman"/>
          <w:sz w:val="20"/>
          <w:szCs w:val="20"/>
        </w:rPr>
        <w:t>化学物質以外の微生物等について、情報収集・整理の対象外とした。</w:t>
      </w:r>
      <w:r w:rsidRPr="00D34E24">
        <w:rPr>
          <w:rFonts w:asciiTheme="majorEastAsia" w:eastAsiaTheme="majorEastAsia" w:hAnsiTheme="majorEastAsia" w:cs="Times New Roman"/>
          <w:sz w:val="20"/>
          <w:szCs w:val="20"/>
        </w:rPr>
        <w:t>また、塩類、異性体等を示す項目（物質群）については、それぞれ個別物質群を選び、</w:t>
      </w:r>
      <w:r w:rsidR="00E0235F" w:rsidRPr="00D34E24">
        <w:rPr>
          <w:rFonts w:asciiTheme="majorEastAsia" w:eastAsiaTheme="majorEastAsia" w:hAnsiTheme="majorEastAsia" w:cs="Times New Roman"/>
          <w:sz w:val="20"/>
          <w:szCs w:val="20"/>
        </w:rPr>
        <w:t>重複した項目等を整理し、702物質（群）について、</w:t>
      </w:r>
      <w:r w:rsidRPr="00D34E24">
        <w:rPr>
          <w:rFonts w:asciiTheme="majorEastAsia" w:eastAsiaTheme="majorEastAsia" w:hAnsiTheme="majorEastAsia" w:cs="Times New Roman"/>
          <w:sz w:val="20"/>
          <w:szCs w:val="20"/>
        </w:rPr>
        <w:t>情報整理を行った。例えば、臭素酸については、臭素酸（CAS No.</w:t>
      </w:r>
      <w:r w:rsidRPr="00D34E24">
        <w:rPr>
          <w:rFonts w:asciiTheme="majorEastAsia" w:eastAsiaTheme="majorEastAsia" w:hAnsiTheme="majorEastAsia" w:cs="Times New Roman"/>
        </w:rPr>
        <w:t xml:space="preserve"> </w:t>
      </w:r>
      <w:r w:rsidRPr="00D34E24">
        <w:rPr>
          <w:rFonts w:asciiTheme="majorEastAsia" w:eastAsiaTheme="majorEastAsia" w:hAnsiTheme="majorEastAsia" w:cs="Times New Roman"/>
          <w:sz w:val="20"/>
          <w:szCs w:val="20"/>
        </w:rPr>
        <w:t>7789-31-3）、臭素酸カリウム（7758-01-2）、臭素酸ナトリウム（7789-38-0）</w:t>
      </w:r>
      <w:r w:rsidR="00E0235F" w:rsidRPr="00D34E24">
        <w:rPr>
          <w:rFonts w:asciiTheme="majorEastAsia" w:eastAsiaTheme="majorEastAsia" w:hAnsiTheme="majorEastAsia" w:cs="Times New Roman"/>
          <w:sz w:val="20"/>
          <w:szCs w:val="20"/>
        </w:rPr>
        <w:t>を含むこと</w:t>
      </w:r>
      <w:r w:rsidRPr="00D34E24">
        <w:rPr>
          <w:rFonts w:asciiTheme="majorEastAsia" w:eastAsiaTheme="majorEastAsia" w:hAnsiTheme="majorEastAsia" w:cs="Times New Roman"/>
          <w:sz w:val="20"/>
          <w:szCs w:val="20"/>
        </w:rPr>
        <w:t>とした。</w:t>
      </w:r>
    </w:p>
    <w:p w:rsidR="005C14EA" w:rsidRPr="00D34E24" w:rsidRDefault="005C14EA" w:rsidP="005C14EA">
      <w:pPr>
        <w:widowControl/>
        <w:snapToGrid w:val="0"/>
        <w:spacing w:line="240" w:lineRule="atLeast"/>
        <w:rPr>
          <w:rFonts w:asciiTheme="majorEastAsia" w:eastAsiaTheme="majorEastAsia" w:hAnsiTheme="majorEastAsia" w:cs="Times New Roman"/>
          <w:sz w:val="20"/>
          <w:szCs w:val="20"/>
        </w:rPr>
      </w:pPr>
      <w:r w:rsidRPr="00D34E24">
        <w:rPr>
          <w:rFonts w:asciiTheme="majorEastAsia" w:eastAsiaTheme="majorEastAsia" w:hAnsiTheme="majorEastAsia" w:cs="Times New Roman"/>
          <w:sz w:val="20"/>
          <w:szCs w:val="20"/>
        </w:rPr>
        <w:t>(2)基本情報</w:t>
      </w:r>
    </w:p>
    <w:p w:rsidR="005C14EA" w:rsidRPr="00D34E24" w:rsidRDefault="005C14EA" w:rsidP="005C14EA">
      <w:pPr>
        <w:widowControl/>
        <w:snapToGrid w:val="0"/>
        <w:spacing w:line="240" w:lineRule="atLeast"/>
        <w:ind w:firstLineChars="100" w:firstLine="200"/>
        <w:rPr>
          <w:rFonts w:asciiTheme="majorEastAsia" w:eastAsiaTheme="majorEastAsia" w:hAnsiTheme="majorEastAsia" w:cs="Times New Roman"/>
          <w:sz w:val="20"/>
          <w:szCs w:val="20"/>
        </w:rPr>
      </w:pPr>
      <w:r w:rsidRPr="00D34E24">
        <w:rPr>
          <w:rFonts w:asciiTheme="majorEastAsia" w:eastAsiaTheme="majorEastAsia" w:hAnsiTheme="majorEastAsia" w:cs="Times New Roman"/>
          <w:sz w:val="20"/>
          <w:szCs w:val="20"/>
        </w:rPr>
        <w:t>物質毎の基本的な情報としては、</w:t>
      </w:r>
      <w:r w:rsidRPr="00D34E24">
        <w:rPr>
          <w:rFonts w:asciiTheme="majorEastAsia" w:eastAsiaTheme="majorEastAsia" w:hAnsiTheme="majorEastAsia" w:cs="ＭＳ 明朝" w:hint="eastAsia"/>
          <w:sz w:val="20"/>
          <w:szCs w:val="20"/>
        </w:rPr>
        <w:t>①</w:t>
      </w:r>
      <w:r w:rsidRPr="00D34E24">
        <w:rPr>
          <w:rFonts w:asciiTheme="majorEastAsia" w:eastAsiaTheme="majorEastAsia" w:hAnsiTheme="majorEastAsia" w:cs="Times New Roman"/>
          <w:sz w:val="20"/>
          <w:szCs w:val="20"/>
        </w:rPr>
        <w:t>基本情報、</w:t>
      </w:r>
      <w:r w:rsidRPr="00D34E24">
        <w:rPr>
          <w:rFonts w:asciiTheme="majorEastAsia" w:eastAsiaTheme="majorEastAsia" w:hAnsiTheme="majorEastAsia" w:cs="ＭＳ 明朝" w:hint="eastAsia"/>
          <w:sz w:val="20"/>
          <w:szCs w:val="20"/>
        </w:rPr>
        <w:t>②</w:t>
      </w:r>
      <w:r w:rsidRPr="00D34E24">
        <w:rPr>
          <w:rFonts w:asciiTheme="majorEastAsia" w:eastAsiaTheme="majorEastAsia" w:hAnsiTheme="majorEastAsia" w:cs="Times New Roman"/>
          <w:sz w:val="20"/>
          <w:szCs w:val="20"/>
        </w:rPr>
        <w:t>Log Pow等、</w:t>
      </w:r>
      <w:r w:rsidRPr="00D34E24">
        <w:rPr>
          <w:rFonts w:asciiTheme="majorEastAsia" w:eastAsiaTheme="majorEastAsia" w:hAnsiTheme="majorEastAsia" w:cs="ＭＳ 明朝" w:hint="eastAsia"/>
          <w:sz w:val="20"/>
          <w:szCs w:val="20"/>
        </w:rPr>
        <w:t>③</w:t>
      </w:r>
      <w:r w:rsidRPr="00D34E24">
        <w:rPr>
          <w:rFonts w:asciiTheme="majorEastAsia" w:eastAsiaTheme="majorEastAsia" w:hAnsiTheme="majorEastAsia" w:cs="Times New Roman"/>
          <w:sz w:val="20"/>
          <w:szCs w:val="20"/>
        </w:rPr>
        <w:t>ヘンリー定数、</w:t>
      </w:r>
      <w:r w:rsidRPr="00D34E24">
        <w:rPr>
          <w:rFonts w:asciiTheme="majorEastAsia" w:eastAsiaTheme="majorEastAsia" w:hAnsiTheme="majorEastAsia" w:cs="ＭＳ 明朝" w:hint="eastAsia"/>
          <w:sz w:val="20"/>
          <w:szCs w:val="20"/>
        </w:rPr>
        <w:t>④</w:t>
      </w:r>
      <w:r w:rsidRPr="00D34E24">
        <w:rPr>
          <w:rFonts w:asciiTheme="majorEastAsia" w:eastAsiaTheme="majorEastAsia" w:hAnsiTheme="majorEastAsia" w:cs="Times New Roman"/>
          <w:sz w:val="20"/>
          <w:szCs w:val="20"/>
        </w:rPr>
        <w:t>構造式、</w:t>
      </w:r>
      <w:r w:rsidRPr="00D34E24">
        <w:rPr>
          <w:rFonts w:asciiTheme="majorEastAsia" w:eastAsiaTheme="majorEastAsia" w:hAnsiTheme="majorEastAsia" w:cs="ＭＳ 明朝" w:hint="eastAsia"/>
          <w:sz w:val="20"/>
          <w:szCs w:val="20"/>
        </w:rPr>
        <w:t>⑤</w:t>
      </w:r>
      <w:r w:rsidRPr="00D34E24">
        <w:rPr>
          <w:rFonts w:asciiTheme="majorEastAsia" w:eastAsiaTheme="majorEastAsia" w:hAnsiTheme="majorEastAsia" w:cs="Times New Roman"/>
          <w:sz w:val="20"/>
          <w:szCs w:val="20"/>
        </w:rPr>
        <w:t>水質基準関連の基準値または評価値、</w:t>
      </w:r>
      <w:r w:rsidRPr="00D34E24">
        <w:rPr>
          <w:rFonts w:asciiTheme="majorEastAsia" w:eastAsiaTheme="majorEastAsia" w:hAnsiTheme="majorEastAsia" w:cs="ＭＳ 明朝" w:hint="eastAsia"/>
          <w:sz w:val="20"/>
          <w:szCs w:val="20"/>
        </w:rPr>
        <w:t>⑥毒性情報（</w:t>
      </w:r>
      <w:r w:rsidRPr="00D34E24">
        <w:rPr>
          <w:rFonts w:asciiTheme="majorEastAsia" w:eastAsiaTheme="majorEastAsia" w:hAnsiTheme="majorEastAsia" w:cs="Times New Roman"/>
          <w:sz w:val="20"/>
          <w:szCs w:val="20"/>
        </w:rPr>
        <w:t>TDI（耐容一日摂取量）、ADI（許容一日摂取量）、NOAEL（無毒性量）等）、</w:t>
      </w:r>
      <w:r w:rsidRPr="00D34E24">
        <w:rPr>
          <w:rFonts w:asciiTheme="majorEastAsia" w:eastAsiaTheme="majorEastAsia" w:hAnsiTheme="majorEastAsia" w:cs="ＭＳ 明朝" w:hint="eastAsia"/>
          <w:sz w:val="20"/>
          <w:szCs w:val="20"/>
        </w:rPr>
        <w:t>⑦</w:t>
      </w:r>
      <w:r w:rsidRPr="00D34E24">
        <w:rPr>
          <w:rFonts w:asciiTheme="majorEastAsia" w:eastAsiaTheme="majorEastAsia" w:hAnsiTheme="majorEastAsia" w:cs="Times New Roman"/>
          <w:sz w:val="20"/>
          <w:szCs w:val="20"/>
        </w:rPr>
        <w:t>製造・輸入量、排出量、</w:t>
      </w:r>
      <w:r w:rsidRPr="00D34E24">
        <w:rPr>
          <w:rFonts w:asciiTheme="majorEastAsia" w:eastAsiaTheme="majorEastAsia" w:hAnsiTheme="majorEastAsia" w:cs="ＭＳ 明朝" w:hint="eastAsia"/>
          <w:sz w:val="20"/>
          <w:szCs w:val="20"/>
        </w:rPr>
        <w:t>⑧</w:t>
      </w:r>
      <w:r w:rsidRPr="00D34E24">
        <w:rPr>
          <w:rFonts w:asciiTheme="majorEastAsia" w:eastAsiaTheme="majorEastAsia" w:hAnsiTheme="majorEastAsia" w:cs="Times New Roman"/>
          <w:sz w:val="20"/>
          <w:szCs w:val="20"/>
        </w:rPr>
        <w:t>浄水処理性、</w:t>
      </w:r>
      <w:r w:rsidRPr="00D34E24">
        <w:rPr>
          <w:rFonts w:asciiTheme="majorEastAsia" w:eastAsiaTheme="majorEastAsia" w:hAnsiTheme="majorEastAsia" w:cs="ＭＳ 明朝" w:hint="eastAsia"/>
          <w:sz w:val="20"/>
          <w:szCs w:val="20"/>
        </w:rPr>
        <w:lastRenderedPageBreak/>
        <w:t>⑨</w:t>
      </w:r>
      <w:r w:rsidRPr="00D34E24">
        <w:rPr>
          <w:rFonts w:asciiTheme="majorEastAsia" w:eastAsiaTheme="majorEastAsia" w:hAnsiTheme="majorEastAsia" w:cs="Times New Roman"/>
          <w:sz w:val="20"/>
          <w:szCs w:val="20"/>
        </w:rPr>
        <w:t>検出状況、</w:t>
      </w:r>
      <w:r w:rsidRPr="00D34E24">
        <w:rPr>
          <w:rFonts w:asciiTheme="majorEastAsia" w:eastAsiaTheme="majorEastAsia" w:hAnsiTheme="majorEastAsia" w:cs="ＭＳ 明朝" w:hint="eastAsia"/>
          <w:sz w:val="20"/>
          <w:szCs w:val="20"/>
        </w:rPr>
        <w:t>⑩</w:t>
      </w:r>
      <w:r w:rsidRPr="00D34E24">
        <w:rPr>
          <w:rFonts w:asciiTheme="majorEastAsia" w:eastAsiaTheme="majorEastAsia" w:hAnsiTheme="majorEastAsia" w:cs="Times New Roman"/>
          <w:sz w:val="20"/>
          <w:szCs w:val="20"/>
        </w:rPr>
        <w:t>評価値と検出値の関係性　について検討を行った。本稿では</w:t>
      </w:r>
      <w:r w:rsidRPr="00D34E24">
        <w:rPr>
          <w:rFonts w:asciiTheme="majorEastAsia" w:eastAsiaTheme="majorEastAsia" w:hAnsiTheme="majorEastAsia" w:cs="ＭＳ 明朝" w:hint="eastAsia"/>
          <w:sz w:val="20"/>
          <w:szCs w:val="20"/>
        </w:rPr>
        <w:t>⑥の毒性情報について述べる。</w:t>
      </w:r>
      <w:r w:rsidRPr="00D34E24">
        <w:rPr>
          <w:rFonts w:asciiTheme="majorEastAsia" w:eastAsiaTheme="majorEastAsia" w:hAnsiTheme="majorEastAsia" w:cs="Times New Roman"/>
          <w:sz w:val="20"/>
          <w:szCs w:val="20"/>
        </w:rPr>
        <w:t>なお、浄水処理性については、今後収集</w:t>
      </w:r>
      <w:r w:rsidR="00E0235F" w:rsidRPr="00D34E24">
        <w:rPr>
          <w:rFonts w:asciiTheme="majorEastAsia" w:eastAsiaTheme="majorEastAsia" w:hAnsiTheme="majorEastAsia" w:cs="Times New Roman"/>
          <w:sz w:val="20"/>
          <w:szCs w:val="20"/>
        </w:rPr>
        <w:t>する</w:t>
      </w:r>
      <w:r w:rsidRPr="00D34E24">
        <w:rPr>
          <w:rFonts w:asciiTheme="majorEastAsia" w:eastAsiaTheme="majorEastAsia" w:hAnsiTheme="majorEastAsia" w:cs="Times New Roman"/>
          <w:sz w:val="20"/>
          <w:szCs w:val="20"/>
        </w:rPr>
        <w:t>予定である。</w:t>
      </w:r>
    </w:p>
    <w:p w:rsidR="00D34E24" w:rsidRDefault="00D34E24" w:rsidP="008035D6">
      <w:pPr>
        <w:spacing w:line="280" w:lineRule="exact"/>
        <w:rPr>
          <w:rFonts w:asciiTheme="majorEastAsia" w:eastAsiaTheme="majorEastAsia" w:hAnsiTheme="majorEastAsia" w:cs="Times New Roman"/>
          <w:b/>
          <w:sz w:val="22"/>
        </w:rPr>
      </w:pPr>
    </w:p>
    <w:p w:rsidR="005C14EA" w:rsidRPr="00D34E24" w:rsidRDefault="00D34E24" w:rsidP="008035D6">
      <w:pPr>
        <w:spacing w:line="280" w:lineRule="exact"/>
        <w:rPr>
          <w:rFonts w:asciiTheme="majorEastAsia" w:eastAsiaTheme="majorEastAsia" w:hAnsiTheme="majorEastAsia" w:cs="Times New Roman"/>
          <w:sz w:val="22"/>
        </w:rPr>
      </w:pPr>
      <w:r>
        <w:rPr>
          <w:rFonts w:asciiTheme="majorEastAsia" w:eastAsiaTheme="majorEastAsia" w:hAnsiTheme="majorEastAsia" w:cs="Times New Roman"/>
          <w:b/>
          <w:sz w:val="22"/>
        </w:rPr>
        <w:t>2</w:t>
      </w:r>
      <w:r w:rsidR="005C14EA" w:rsidRPr="00D34E24">
        <w:rPr>
          <w:rFonts w:asciiTheme="majorEastAsia" w:eastAsiaTheme="majorEastAsia" w:hAnsiTheme="majorEastAsia" w:cs="Times New Roman"/>
          <w:b/>
          <w:sz w:val="22"/>
        </w:rPr>
        <w:t xml:space="preserve">. </w:t>
      </w:r>
      <w:r w:rsidR="004445B7" w:rsidRPr="00D34E24">
        <w:rPr>
          <w:rFonts w:asciiTheme="majorEastAsia" w:eastAsiaTheme="majorEastAsia" w:hAnsiTheme="majorEastAsia" w:cs="Times New Roman"/>
          <w:b/>
          <w:sz w:val="22"/>
        </w:rPr>
        <w:t>水質基準関連の基準値または評価値、</w:t>
      </w:r>
      <w:r w:rsidR="005C14EA" w:rsidRPr="00D34E24">
        <w:rPr>
          <w:rFonts w:asciiTheme="majorEastAsia" w:eastAsiaTheme="majorEastAsia" w:hAnsiTheme="majorEastAsia" w:cs="Times New Roman"/>
          <w:b/>
          <w:sz w:val="22"/>
        </w:rPr>
        <w:t>毒性情報の作成</w:t>
      </w:r>
    </w:p>
    <w:p w:rsidR="005C14EA" w:rsidRPr="00D34E24" w:rsidRDefault="005C14EA" w:rsidP="005C14EA">
      <w:pPr>
        <w:snapToGrid w:val="0"/>
        <w:spacing w:line="240" w:lineRule="exact"/>
        <w:rPr>
          <w:rFonts w:asciiTheme="majorEastAsia" w:eastAsiaTheme="majorEastAsia" w:hAnsiTheme="majorEastAsia" w:cs="Times New Roman"/>
          <w:sz w:val="20"/>
          <w:szCs w:val="18"/>
        </w:rPr>
      </w:pPr>
      <w:r w:rsidRPr="00D34E24">
        <w:rPr>
          <w:rFonts w:asciiTheme="majorEastAsia" w:eastAsiaTheme="majorEastAsia" w:hAnsiTheme="majorEastAsia" w:cs="Times New Roman"/>
          <w:sz w:val="20"/>
          <w:szCs w:val="18"/>
        </w:rPr>
        <w:t xml:space="preserve">　</w:t>
      </w:r>
      <w:r w:rsidR="008035D6" w:rsidRPr="00D34E24">
        <w:rPr>
          <w:rFonts w:asciiTheme="majorEastAsia" w:eastAsiaTheme="majorEastAsia" w:hAnsiTheme="majorEastAsia" w:cs="Times New Roman"/>
          <w:sz w:val="20"/>
          <w:szCs w:val="18"/>
        </w:rPr>
        <w:t>水質</w:t>
      </w:r>
      <w:r w:rsidR="00D34E24">
        <w:rPr>
          <w:rFonts w:asciiTheme="majorEastAsia" w:eastAsiaTheme="majorEastAsia" w:hAnsiTheme="majorEastAsia" w:cs="Times New Roman"/>
          <w:sz w:val="20"/>
          <w:szCs w:val="18"/>
        </w:rPr>
        <w:t>基準項目、管理目標設定項目などについて基準値、評価値等を収集した</w:t>
      </w:r>
      <w:r w:rsidR="008035D6" w:rsidRPr="00D34E24">
        <w:rPr>
          <w:rFonts w:asciiTheme="majorEastAsia" w:eastAsiaTheme="majorEastAsia" w:hAnsiTheme="majorEastAsia" w:cs="Times New Roman"/>
          <w:sz w:val="20"/>
          <w:szCs w:val="18"/>
        </w:rPr>
        <w:t>。その他、評価値等が設定されていない物質の</w:t>
      </w:r>
      <w:r w:rsidRPr="00D34E24">
        <w:rPr>
          <w:rFonts w:asciiTheme="majorEastAsia" w:eastAsiaTheme="majorEastAsia" w:hAnsiTheme="majorEastAsia" w:cs="Times New Roman"/>
          <w:sz w:val="20"/>
          <w:szCs w:val="18"/>
        </w:rPr>
        <w:t>毒性情報については、食品安全委員会評価書、WHO飲料水質ガイドライン第4版、環境省の化学物質の環境リスク初期評価、米国環境保護庁のIntegrated Risk</w:t>
      </w:r>
      <w:r w:rsidRPr="00D34E24">
        <w:rPr>
          <w:rFonts w:asciiTheme="majorEastAsia" w:eastAsiaTheme="majorEastAsia" w:hAnsiTheme="majorEastAsia" w:cs="Times New Roman" w:hint="eastAsia"/>
          <w:sz w:val="20"/>
          <w:szCs w:val="18"/>
        </w:rPr>
        <w:t xml:space="preserve"> Information System (IRIS)、（独）製品評価技術基盤機構(NITE)化管法指定物質の選定根拠データを参照し、以下のように記載を行った。</w:t>
      </w:r>
    </w:p>
    <w:p w:rsidR="005C14EA" w:rsidRPr="00D34E24" w:rsidRDefault="005C14EA" w:rsidP="005C14EA">
      <w:pPr>
        <w:widowControl/>
        <w:numPr>
          <w:ilvl w:val="0"/>
          <w:numId w:val="5"/>
        </w:numPr>
        <w:snapToGrid w:val="0"/>
        <w:spacing w:line="240" w:lineRule="exact"/>
        <w:rPr>
          <w:rFonts w:asciiTheme="majorEastAsia" w:eastAsiaTheme="majorEastAsia" w:hAnsiTheme="majorEastAsia" w:cs="Times New Roman"/>
          <w:sz w:val="20"/>
          <w:szCs w:val="18"/>
        </w:rPr>
      </w:pPr>
      <w:r w:rsidRPr="00D34E24">
        <w:rPr>
          <w:rFonts w:asciiTheme="majorEastAsia" w:eastAsiaTheme="majorEastAsia" w:hAnsiTheme="majorEastAsia" w:cs="Times New Roman"/>
          <w:sz w:val="20"/>
          <w:szCs w:val="18"/>
        </w:rPr>
        <w:t>各物質のTDI等（TDI、ADI、無毒性量等、</w:t>
      </w:r>
      <w:proofErr w:type="spellStart"/>
      <w:r w:rsidRPr="00D34E24">
        <w:rPr>
          <w:rFonts w:asciiTheme="majorEastAsia" w:eastAsiaTheme="majorEastAsia" w:hAnsiTheme="majorEastAsia" w:cs="Times New Roman"/>
          <w:sz w:val="20"/>
          <w:szCs w:val="18"/>
        </w:rPr>
        <w:t>RfD</w:t>
      </w:r>
      <w:proofErr w:type="spellEnd"/>
      <w:r w:rsidRPr="00D34E24">
        <w:rPr>
          <w:rFonts w:asciiTheme="majorEastAsia" w:eastAsiaTheme="majorEastAsia" w:hAnsiTheme="majorEastAsia" w:cs="Times New Roman"/>
          <w:sz w:val="20"/>
          <w:szCs w:val="18"/>
        </w:rPr>
        <w:t>、10</w:t>
      </w:r>
      <w:r w:rsidRPr="00D34E24">
        <w:rPr>
          <w:rFonts w:asciiTheme="majorEastAsia" w:eastAsiaTheme="majorEastAsia" w:hAnsiTheme="majorEastAsia" w:cs="Times New Roman"/>
          <w:sz w:val="20"/>
          <w:szCs w:val="18"/>
          <w:vertAlign w:val="superscript"/>
        </w:rPr>
        <w:t>-5</w:t>
      </w:r>
      <w:r w:rsidR="00E0235F" w:rsidRPr="00D34E24">
        <w:rPr>
          <w:rFonts w:asciiTheme="majorEastAsia" w:eastAsiaTheme="majorEastAsia" w:hAnsiTheme="majorEastAsia" w:cs="Times New Roman"/>
          <w:sz w:val="20"/>
          <w:szCs w:val="18"/>
        </w:rPr>
        <w:t>リスク相当摂取量等）について、その根拠データを記載した。</w:t>
      </w:r>
      <w:r w:rsidRPr="00D34E24">
        <w:rPr>
          <w:rFonts w:asciiTheme="majorEastAsia" w:eastAsiaTheme="majorEastAsia" w:hAnsiTheme="majorEastAsia" w:cs="Times New Roman"/>
          <w:sz w:val="20"/>
          <w:szCs w:val="18"/>
        </w:rPr>
        <w:t>表2</w:t>
      </w:r>
      <w:r w:rsidR="00E0235F" w:rsidRPr="00D34E24">
        <w:rPr>
          <w:rFonts w:asciiTheme="majorEastAsia" w:eastAsiaTheme="majorEastAsia" w:hAnsiTheme="majorEastAsia" w:cs="Times New Roman"/>
          <w:sz w:val="20"/>
          <w:szCs w:val="18"/>
        </w:rPr>
        <w:t>に例を示す。</w:t>
      </w:r>
    </w:p>
    <w:p w:rsidR="00855455" w:rsidRDefault="00855455" w:rsidP="00855455">
      <w:pPr>
        <w:spacing w:line="260" w:lineRule="exact"/>
        <w:ind w:firstLineChars="100" w:firstLine="160"/>
        <w:rPr>
          <w:rFonts w:asciiTheme="majorEastAsia" w:eastAsiaTheme="majorEastAsia" w:hAnsiTheme="majorEastAsia"/>
          <w:sz w:val="16"/>
          <w:szCs w:val="16"/>
        </w:rPr>
      </w:pPr>
    </w:p>
    <w:p w:rsidR="00D34E24" w:rsidRDefault="00D34E24" w:rsidP="00855455">
      <w:pPr>
        <w:spacing w:line="260" w:lineRule="exact"/>
        <w:ind w:firstLineChars="100" w:firstLine="160"/>
        <w:rPr>
          <w:rFonts w:asciiTheme="majorEastAsia" w:eastAsiaTheme="majorEastAsia" w:hAnsiTheme="majorEastAsia"/>
          <w:sz w:val="16"/>
          <w:szCs w:val="16"/>
        </w:rPr>
      </w:pPr>
    </w:p>
    <w:p w:rsidR="005C14EA" w:rsidRPr="00D34E24" w:rsidRDefault="005C14EA" w:rsidP="005C14EA">
      <w:pPr>
        <w:pStyle w:val="a3"/>
        <w:widowControl/>
        <w:snapToGrid w:val="0"/>
        <w:spacing w:line="240" w:lineRule="exact"/>
        <w:ind w:leftChars="0" w:left="420" w:firstLineChars="600" w:firstLine="1200"/>
        <w:rPr>
          <w:rFonts w:asciiTheme="majorEastAsia" w:eastAsiaTheme="majorEastAsia" w:hAnsiTheme="majorEastAsia" w:cs="Times New Roman"/>
          <w:sz w:val="20"/>
          <w:szCs w:val="20"/>
        </w:rPr>
      </w:pPr>
      <w:r w:rsidRPr="00D34E24">
        <w:rPr>
          <w:rFonts w:asciiTheme="majorEastAsia" w:eastAsiaTheme="majorEastAsia" w:hAnsiTheme="majorEastAsia" w:cs="Times New Roman"/>
          <w:sz w:val="20"/>
          <w:szCs w:val="20"/>
        </w:rPr>
        <w:t>表 2　TDI（ADI）、NOAEL等の整理例（非発がん影響）</w:t>
      </w:r>
    </w:p>
    <w:p w:rsidR="005C14EA" w:rsidRPr="00D34E24" w:rsidRDefault="005C14EA" w:rsidP="005C14EA">
      <w:pPr>
        <w:widowControl/>
        <w:snapToGrid w:val="0"/>
        <w:spacing w:line="240" w:lineRule="exact"/>
        <w:ind w:left="420"/>
        <w:rPr>
          <w:rFonts w:asciiTheme="majorEastAsia" w:eastAsiaTheme="majorEastAsia" w:hAnsiTheme="majorEastAsia" w:cs="Times New Roman"/>
          <w:sz w:val="20"/>
          <w:szCs w:val="18"/>
        </w:rPr>
      </w:pPr>
      <w:r w:rsidRPr="00D34E24">
        <w:rPr>
          <w:rFonts w:asciiTheme="majorEastAsia" w:eastAsiaTheme="majorEastAsia" w:hAnsiTheme="majorEastAsia" w:cs="Times New Roman"/>
          <w:noProof/>
          <w:sz w:val="22"/>
        </w:rPr>
        <w:drawing>
          <wp:anchor distT="0" distB="0" distL="114300" distR="114300" simplePos="0" relativeHeight="251666432" behindDoc="0" locked="0" layoutInCell="1" allowOverlap="1" wp14:anchorId="41814111" wp14:editId="16A9F7EE">
            <wp:simplePos x="0" y="0"/>
            <wp:positionH relativeFrom="column">
              <wp:posOffset>39370</wp:posOffset>
            </wp:positionH>
            <wp:positionV relativeFrom="paragraph">
              <wp:posOffset>40640</wp:posOffset>
            </wp:positionV>
            <wp:extent cx="5180330" cy="1377950"/>
            <wp:effectExtent l="0" t="0" r="127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033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4EA" w:rsidRPr="00D34E24" w:rsidRDefault="005C14EA" w:rsidP="005C14EA">
      <w:pPr>
        <w:widowControl/>
        <w:numPr>
          <w:ilvl w:val="0"/>
          <w:numId w:val="5"/>
        </w:numPr>
        <w:snapToGrid w:val="0"/>
        <w:spacing w:line="240" w:lineRule="exact"/>
        <w:rPr>
          <w:rFonts w:asciiTheme="majorEastAsia" w:eastAsiaTheme="majorEastAsia" w:hAnsiTheme="majorEastAsia" w:cs="Times New Roman"/>
          <w:sz w:val="20"/>
          <w:szCs w:val="18"/>
        </w:rPr>
      </w:pPr>
      <w:r w:rsidRPr="00D34E24">
        <w:rPr>
          <w:rFonts w:asciiTheme="majorEastAsia" w:eastAsiaTheme="majorEastAsia" w:hAnsiTheme="majorEastAsia" w:cs="Times New Roman"/>
          <w:sz w:val="20"/>
          <w:szCs w:val="18"/>
        </w:rPr>
        <w:t>仮の評価値の設定</w:t>
      </w:r>
    </w:p>
    <w:p w:rsidR="005C14EA" w:rsidRPr="00D34E24" w:rsidRDefault="005C14EA" w:rsidP="005C14EA">
      <w:pPr>
        <w:widowControl/>
        <w:snapToGrid w:val="0"/>
        <w:spacing w:line="240" w:lineRule="exact"/>
        <w:ind w:firstLineChars="100" w:firstLine="200"/>
        <w:rPr>
          <w:rFonts w:asciiTheme="majorEastAsia" w:eastAsiaTheme="majorEastAsia" w:hAnsiTheme="majorEastAsia" w:cs="Times New Roman"/>
          <w:sz w:val="20"/>
          <w:szCs w:val="18"/>
        </w:rPr>
      </w:pPr>
      <w:r w:rsidRPr="00D34E24">
        <w:rPr>
          <w:rFonts w:asciiTheme="majorEastAsia" w:eastAsiaTheme="majorEastAsia" w:hAnsiTheme="majorEastAsia" w:cs="Times New Roman"/>
          <w:sz w:val="20"/>
          <w:szCs w:val="18"/>
        </w:rPr>
        <w:t>評価値等がない物質については各物質について、以下のように仮の評価値を設定した。</w:t>
      </w:r>
    </w:p>
    <w:p w:rsidR="007B6273" w:rsidRPr="00D34E24" w:rsidRDefault="005C14EA" w:rsidP="005C14EA">
      <w:pPr>
        <w:widowControl/>
        <w:numPr>
          <w:ilvl w:val="0"/>
          <w:numId w:val="6"/>
        </w:numPr>
        <w:spacing w:line="200" w:lineRule="exact"/>
        <w:ind w:left="567" w:hanging="425"/>
        <w:rPr>
          <w:rFonts w:asciiTheme="majorEastAsia" w:eastAsiaTheme="majorEastAsia" w:hAnsiTheme="majorEastAsia" w:cs="Times New Roman"/>
          <w:sz w:val="18"/>
          <w:szCs w:val="18"/>
        </w:rPr>
      </w:pPr>
      <w:r w:rsidRPr="00D34E24">
        <w:rPr>
          <w:rFonts w:asciiTheme="majorEastAsia" w:eastAsiaTheme="majorEastAsia" w:hAnsiTheme="majorEastAsia" w:cs="Times New Roman"/>
          <w:sz w:val="18"/>
          <w:szCs w:val="18"/>
        </w:rPr>
        <w:t>その物質の水質基準等は設定されていないが関連物質の水質基準が設定されている場合　関連物質の水質基準等を、その物質の仮の評価値とした。</w:t>
      </w:r>
    </w:p>
    <w:p w:rsidR="005C14EA" w:rsidRPr="00D34E24" w:rsidRDefault="005C14EA" w:rsidP="005C14EA">
      <w:pPr>
        <w:widowControl/>
        <w:numPr>
          <w:ilvl w:val="0"/>
          <w:numId w:val="6"/>
        </w:numPr>
        <w:spacing w:line="200" w:lineRule="exact"/>
        <w:ind w:left="567" w:hanging="425"/>
        <w:rPr>
          <w:rFonts w:asciiTheme="majorEastAsia" w:eastAsiaTheme="majorEastAsia" w:hAnsiTheme="majorEastAsia" w:cs="Times New Roman"/>
          <w:sz w:val="18"/>
          <w:szCs w:val="18"/>
        </w:rPr>
      </w:pPr>
      <w:r w:rsidRPr="00D34E24">
        <w:rPr>
          <w:rFonts w:asciiTheme="majorEastAsia" w:eastAsiaTheme="majorEastAsia" w:hAnsiTheme="majorEastAsia" w:cs="Times New Roman"/>
          <w:sz w:val="18"/>
          <w:szCs w:val="18"/>
        </w:rPr>
        <w:t>上記（ア）に該当しない場合であって、非発がん影響に係るTDI、発がん影響に係るTDI、参照濃度（</w:t>
      </w:r>
      <w:proofErr w:type="spellStart"/>
      <w:r w:rsidRPr="00D34E24">
        <w:rPr>
          <w:rFonts w:asciiTheme="majorEastAsia" w:eastAsiaTheme="majorEastAsia" w:hAnsiTheme="majorEastAsia" w:cs="Times New Roman"/>
          <w:sz w:val="18"/>
          <w:szCs w:val="18"/>
        </w:rPr>
        <w:t>RfD</w:t>
      </w:r>
      <w:proofErr w:type="spellEnd"/>
      <w:r w:rsidRPr="00D34E24">
        <w:rPr>
          <w:rFonts w:asciiTheme="majorEastAsia" w:eastAsiaTheme="majorEastAsia" w:hAnsiTheme="majorEastAsia" w:cs="Times New Roman"/>
          <w:sz w:val="18"/>
          <w:szCs w:val="18"/>
        </w:rPr>
        <w:t>）又は</w:t>
      </w:r>
      <w:r w:rsidRPr="00D34E24">
        <w:rPr>
          <w:rFonts w:asciiTheme="majorEastAsia" w:eastAsiaTheme="majorEastAsia" w:hAnsiTheme="majorEastAsia" w:cs="Times New Roman" w:hint="eastAsia"/>
          <w:sz w:val="18"/>
          <w:szCs w:val="18"/>
        </w:rPr>
        <w:t>スロープファクターに基づく10</w:t>
      </w:r>
      <w:r w:rsidRPr="00D34E24">
        <w:rPr>
          <w:rFonts w:asciiTheme="majorEastAsia" w:eastAsiaTheme="majorEastAsia" w:hAnsiTheme="majorEastAsia" w:cs="Times New Roman" w:hint="eastAsia"/>
          <w:sz w:val="18"/>
          <w:szCs w:val="18"/>
          <w:vertAlign w:val="superscript"/>
        </w:rPr>
        <w:t>-5</w:t>
      </w:r>
      <w:r w:rsidRPr="00D34E24">
        <w:rPr>
          <w:rFonts w:asciiTheme="majorEastAsia" w:eastAsiaTheme="majorEastAsia" w:hAnsiTheme="majorEastAsia" w:cs="Times New Roman" w:hint="eastAsia"/>
          <w:sz w:val="18"/>
          <w:szCs w:val="18"/>
        </w:rPr>
        <w:t>リスク相当摂取量</w:t>
      </w:r>
      <w:r w:rsidRPr="00D34E24">
        <w:rPr>
          <w:rFonts w:asciiTheme="majorEastAsia" w:eastAsiaTheme="majorEastAsia" w:hAnsiTheme="majorEastAsia" w:cs="Times New Roman"/>
          <w:sz w:val="18"/>
          <w:szCs w:val="18"/>
        </w:rPr>
        <w:t>により「評価用のTDI等」が算出された場合、小さい方の値を「仮の評価値算出用のTDI等」として、式(1)により「仮の評価値」を設定した。</w:t>
      </w:r>
    </w:p>
    <w:p w:rsidR="005C14EA" w:rsidRPr="00D34E24" w:rsidRDefault="005C14EA" w:rsidP="005C14EA">
      <w:pPr>
        <w:widowControl/>
        <w:spacing w:line="200" w:lineRule="exact"/>
        <w:ind w:leftChars="100" w:left="210" w:firstLineChars="500" w:firstLine="900"/>
        <w:rPr>
          <w:rFonts w:asciiTheme="majorEastAsia" w:eastAsiaTheme="majorEastAsia" w:hAnsiTheme="majorEastAsia" w:cs="Times New Roman"/>
          <w:i/>
          <w:sz w:val="18"/>
          <w:szCs w:val="18"/>
        </w:rPr>
      </w:pPr>
      <w:r w:rsidRPr="00D34E24">
        <w:rPr>
          <w:rFonts w:asciiTheme="majorEastAsia" w:eastAsiaTheme="majorEastAsia" w:hAnsiTheme="majorEastAsia" w:cs="Times New Roman"/>
          <w:i/>
          <w:sz w:val="18"/>
          <w:szCs w:val="18"/>
        </w:rPr>
        <w:t>仮の評価値(mg/L) = 仮の評価値算出用のTDI等(mg/kg体重/day) ×</w:t>
      </w:r>
    </w:p>
    <w:p w:rsidR="005C14EA" w:rsidRPr="00D34E24" w:rsidRDefault="005C14EA" w:rsidP="005C14EA">
      <w:pPr>
        <w:widowControl/>
        <w:spacing w:line="200" w:lineRule="exact"/>
        <w:ind w:left="567" w:firstLineChars="400" w:firstLine="720"/>
        <w:rPr>
          <w:rFonts w:asciiTheme="majorEastAsia" w:eastAsiaTheme="majorEastAsia" w:hAnsiTheme="majorEastAsia" w:cs="Times New Roman"/>
          <w:sz w:val="18"/>
          <w:szCs w:val="18"/>
        </w:rPr>
      </w:pPr>
      <w:r w:rsidRPr="00D34E24">
        <w:rPr>
          <w:rFonts w:asciiTheme="majorEastAsia" w:eastAsiaTheme="majorEastAsia" w:hAnsiTheme="majorEastAsia" w:cs="Times New Roman"/>
          <w:i/>
          <w:sz w:val="18"/>
          <w:szCs w:val="18"/>
        </w:rPr>
        <w:t>50kg(体重) ÷ 2L/day（飲水量）× 10%（飲水の寄与率）</w:t>
      </w:r>
      <w:r w:rsidRPr="00D34E24">
        <w:rPr>
          <w:rFonts w:asciiTheme="majorEastAsia" w:eastAsiaTheme="majorEastAsia" w:hAnsiTheme="majorEastAsia" w:cs="Times New Roman"/>
          <w:sz w:val="18"/>
          <w:szCs w:val="18"/>
        </w:rPr>
        <w:t xml:space="preserve">　・・・・・・(1)</w:t>
      </w:r>
    </w:p>
    <w:p w:rsidR="005C14EA" w:rsidRPr="00D34E24" w:rsidRDefault="007B6273" w:rsidP="005C14EA">
      <w:pPr>
        <w:widowControl/>
        <w:numPr>
          <w:ilvl w:val="0"/>
          <w:numId w:val="6"/>
        </w:numPr>
        <w:spacing w:line="200" w:lineRule="exact"/>
        <w:ind w:left="567" w:hanging="425"/>
        <w:rPr>
          <w:rFonts w:asciiTheme="majorEastAsia" w:eastAsiaTheme="majorEastAsia" w:hAnsiTheme="majorEastAsia" w:cs="Times New Roman"/>
          <w:sz w:val="18"/>
          <w:szCs w:val="18"/>
        </w:rPr>
      </w:pPr>
      <w:r w:rsidRPr="00D34E24">
        <w:rPr>
          <w:rFonts w:asciiTheme="majorEastAsia" w:eastAsiaTheme="majorEastAsia" w:hAnsiTheme="majorEastAsia" w:cs="Times New Roman"/>
          <w:sz w:val="18"/>
          <w:szCs w:val="18"/>
        </w:rPr>
        <w:t>その他、可能であれば</w:t>
      </w:r>
      <w:r w:rsidR="005C14EA" w:rsidRPr="00D34E24">
        <w:rPr>
          <w:rFonts w:asciiTheme="majorEastAsia" w:eastAsiaTheme="majorEastAsia" w:hAnsiTheme="majorEastAsia" w:cs="Times New Roman"/>
          <w:sz w:val="18"/>
          <w:szCs w:val="18"/>
        </w:rPr>
        <w:t>WHO飲料水水質ガイドライン値</w:t>
      </w:r>
      <w:r w:rsidRPr="00D34E24">
        <w:rPr>
          <w:rFonts w:asciiTheme="majorEastAsia" w:eastAsiaTheme="majorEastAsia" w:hAnsiTheme="majorEastAsia" w:cs="Times New Roman"/>
          <w:sz w:val="18"/>
          <w:szCs w:val="18"/>
        </w:rPr>
        <w:t>を</w:t>
      </w:r>
      <w:r w:rsidR="005C14EA" w:rsidRPr="00D34E24">
        <w:rPr>
          <w:rFonts w:asciiTheme="majorEastAsia" w:eastAsiaTheme="majorEastAsia" w:hAnsiTheme="majorEastAsia" w:cs="Times New Roman"/>
          <w:sz w:val="18"/>
          <w:szCs w:val="18"/>
        </w:rPr>
        <w:t>仮の評価値とした。</w:t>
      </w:r>
    </w:p>
    <w:p w:rsidR="007B6273" w:rsidRPr="00D34E24" w:rsidRDefault="007B6273" w:rsidP="007B6273">
      <w:pPr>
        <w:widowControl/>
        <w:spacing w:line="200" w:lineRule="exact"/>
        <w:ind w:left="567"/>
        <w:rPr>
          <w:rFonts w:asciiTheme="majorEastAsia" w:eastAsiaTheme="majorEastAsia" w:hAnsiTheme="majorEastAsia" w:cs="Times New Roman"/>
          <w:sz w:val="18"/>
          <w:szCs w:val="18"/>
        </w:rPr>
      </w:pPr>
    </w:p>
    <w:p w:rsidR="005C14EA" w:rsidRPr="00D34E24" w:rsidRDefault="007B6273" w:rsidP="007B6273">
      <w:pPr>
        <w:widowControl/>
        <w:spacing w:line="200" w:lineRule="exact"/>
        <w:rPr>
          <w:rFonts w:asciiTheme="majorEastAsia" w:eastAsiaTheme="majorEastAsia" w:hAnsiTheme="majorEastAsia" w:cs="Times New Roman"/>
          <w:sz w:val="20"/>
          <w:szCs w:val="20"/>
        </w:rPr>
      </w:pPr>
      <w:r w:rsidRPr="00D34E24">
        <w:rPr>
          <w:rFonts w:asciiTheme="majorEastAsia" w:eastAsiaTheme="majorEastAsia" w:hAnsiTheme="majorEastAsia" w:cs="Times New Roman"/>
          <w:sz w:val="18"/>
          <w:szCs w:val="18"/>
        </w:rPr>
        <w:t xml:space="preserve">　</w:t>
      </w:r>
      <w:r w:rsidR="005C14EA" w:rsidRPr="00D34E24">
        <w:rPr>
          <w:rFonts w:asciiTheme="majorEastAsia" w:eastAsiaTheme="majorEastAsia" w:hAnsiTheme="majorEastAsia" w:cs="Times New Roman"/>
          <w:sz w:val="20"/>
          <w:szCs w:val="20"/>
        </w:rPr>
        <w:t>なお、ヒドラジン、1,2-エポキシプロパン</w:t>
      </w:r>
      <w:r w:rsidR="008D66A3" w:rsidRPr="00D34E24">
        <w:rPr>
          <w:rFonts w:asciiTheme="majorEastAsia" w:eastAsiaTheme="majorEastAsia" w:hAnsiTheme="majorEastAsia" w:cs="Times New Roman"/>
          <w:sz w:val="20"/>
          <w:szCs w:val="20"/>
        </w:rPr>
        <w:t>（酸化プロピレン）</w:t>
      </w:r>
      <w:r w:rsidR="005C14EA" w:rsidRPr="00D34E24">
        <w:rPr>
          <w:rFonts w:asciiTheme="majorEastAsia" w:eastAsiaTheme="majorEastAsia" w:hAnsiTheme="majorEastAsia" w:cs="Times New Roman"/>
          <w:sz w:val="20"/>
          <w:szCs w:val="20"/>
        </w:rPr>
        <w:t>、1,2,3-トリクロロプロパン、ポリ塩化ビフェニル(PCB)等の9物質については、発がん影響に係る詳細な検討を経ずにスロープファクターに基づく10</w:t>
      </w:r>
      <w:r w:rsidR="005C14EA" w:rsidRPr="00D34E24">
        <w:rPr>
          <w:rFonts w:asciiTheme="majorEastAsia" w:eastAsiaTheme="majorEastAsia" w:hAnsiTheme="majorEastAsia" w:cs="Times New Roman"/>
          <w:sz w:val="20"/>
          <w:szCs w:val="20"/>
          <w:vertAlign w:val="superscript"/>
        </w:rPr>
        <w:t>-5</w:t>
      </w:r>
      <w:r w:rsidR="005C14EA" w:rsidRPr="00D34E24">
        <w:rPr>
          <w:rFonts w:asciiTheme="majorEastAsia" w:eastAsiaTheme="majorEastAsia" w:hAnsiTheme="majorEastAsia" w:cs="Times New Roman"/>
          <w:sz w:val="20"/>
          <w:szCs w:val="20"/>
        </w:rPr>
        <w:t>リスク相当摂取量を「仮の評価値算出用のTDI等」として仮の評価値を算出したことから、厳しい評価となっている可能性がある。</w:t>
      </w:r>
    </w:p>
    <w:p w:rsidR="00D34E24" w:rsidRDefault="00D34E24" w:rsidP="005C14EA">
      <w:pPr>
        <w:spacing w:line="240" w:lineRule="exact"/>
        <w:rPr>
          <w:rFonts w:asciiTheme="majorEastAsia" w:eastAsiaTheme="majorEastAsia" w:hAnsiTheme="majorEastAsia" w:cs="Times New Roman"/>
          <w:b/>
          <w:sz w:val="20"/>
          <w:szCs w:val="20"/>
        </w:rPr>
      </w:pPr>
    </w:p>
    <w:p w:rsidR="005C14EA" w:rsidRPr="00D34E24" w:rsidRDefault="00D34E24" w:rsidP="005C14EA">
      <w:pPr>
        <w:spacing w:line="240" w:lineRule="exact"/>
        <w:rPr>
          <w:rFonts w:asciiTheme="majorEastAsia" w:eastAsiaTheme="majorEastAsia" w:hAnsiTheme="majorEastAsia" w:cs="Times New Roman"/>
          <w:sz w:val="20"/>
          <w:szCs w:val="20"/>
        </w:rPr>
      </w:pPr>
      <w:r>
        <w:rPr>
          <w:rFonts w:asciiTheme="majorEastAsia" w:eastAsiaTheme="majorEastAsia" w:hAnsiTheme="majorEastAsia" w:cs="Times New Roman"/>
          <w:b/>
          <w:sz w:val="20"/>
          <w:szCs w:val="20"/>
        </w:rPr>
        <w:t>3</w:t>
      </w:r>
      <w:r w:rsidR="005C14EA" w:rsidRPr="00D34E24">
        <w:rPr>
          <w:rFonts w:asciiTheme="majorEastAsia" w:eastAsiaTheme="majorEastAsia" w:hAnsiTheme="majorEastAsia" w:cs="Times New Roman"/>
          <w:b/>
          <w:sz w:val="20"/>
          <w:szCs w:val="20"/>
        </w:rPr>
        <w:t>. 検出状況の把握</w:t>
      </w:r>
    </w:p>
    <w:p w:rsidR="007B6273" w:rsidRPr="00D34E24" w:rsidRDefault="005C14EA" w:rsidP="005C14EA">
      <w:pPr>
        <w:snapToGrid w:val="0"/>
        <w:spacing w:line="240" w:lineRule="exact"/>
        <w:rPr>
          <w:rFonts w:asciiTheme="majorEastAsia" w:eastAsiaTheme="majorEastAsia" w:hAnsiTheme="majorEastAsia" w:cs="Times New Roman"/>
          <w:sz w:val="20"/>
          <w:szCs w:val="18"/>
        </w:rPr>
      </w:pPr>
      <w:r w:rsidRPr="00D34E24">
        <w:rPr>
          <w:rFonts w:asciiTheme="majorEastAsia" w:eastAsiaTheme="majorEastAsia" w:hAnsiTheme="majorEastAsia" w:cs="Times New Roman"/>
          <w:sz w:val="20"/>
          <w:szCs w:val="18"/>
        </w:rPr>
        <w:t xml:space="preserve">　検出状況については、水道統計</w:t>
      </w:r>
      <w:r w:rsidR="007B6273" w:rsidRPr="00D34E24">
        <w:rPr>
          <w:rFonts w:asciiTheme="majorEastAsia" w:eastAsiaTheme="majorEastAsia" w:hAnsiTheme="majorEastAsia" w:cs="Times New Roman"/>
          <w:sz w:val="20"/>
          <w:szCs w:val="18"/>
        </w:rPr>
        <w:t>（2010～12）</w:t>
      </w:r>
      <w:r w:rsidRPr="00D34E24">
        <w:rPr>
          <w:rFonts w:asciiTheme="majorEastAsia" w:eastAsiaTheme="majorEastAsia" w:hAnsiTheme="majorEastAsia" w:cs="Times New Roman"/>
          <w:sz w:val="20"/>
          <w:szCs w:val="18"/>
        </w:rPr>
        <w:t>、環境省公共用水域水質測定（常時監視</w:t>
      </w:r>
      <w:r w:rsidR="007B6273" w:rsidRPr="00D34E24">
        <w:rPr>
          <w:rFonts w:asciiTheme="majorEastAsia" w:eastAsiaTheme="majorEastAsia" w:hAnsiTheme="majorEastAsia" w:cs="Times New Roman"/>
          <w:sz w:val="20"/>
          <w:szCs w:val="18"/>
        </w:rPr>
        <w:t>）、要調査項目等存在状況調査（1999～2013</w:t>
      </w:r>
      <w:r w:rsidR="007B6273" w:rsidRPr="00D34E24">
        <w:rPr>
          <w:rFonts w:asciiTheme="majorEastAsia" w:eastAsiaTheme="majorEastAsia" w:hAnsiTheme="majorEastAsia" w:cs="Times New Roman" w:hint="eastAsia"/>
          <w:sz w:val="20"/>
          <w:szCs w:val="18"/>
        </w:rPr>
        <w:t>）</w:t>
      </w:r>
      <w:r w:rsidR="007B6273" w:rsidRPr="00D34E24">
        <w:rPr>
          <w:rFonts w:asciiTheme="majorEastAsia" w:eastAsiaTheme="majorEastAsia" w:hAnsiTheme="majorEastAsia" w:cs="Times New Roman"/>
          <w:sz w:val="20"/>
          <w:szCs w:val="18"/>
        </w:rPr>
        <w:t>、化学物質環境実態調査（エコ調査／黒本調査）（1974～2013</w:t>
      </w:r>
      <w:r w:rsidR="00E0235F" w:rsidRPr="00D34E24">
        <w:rPr>
          <w:rFonts w:asciiTheme="majorEastAsia" w:eastAsiaTheme="majorEastAsia" w:hAnsiTheme="majorEastAsia" w:cs="Times New Roman"/>
          <w:sz w:val="20"/>
          <w:szCs w:val="18"/>
        </w:rPr>
        <w:t>）について、可能な限り異常値を除き、</w:t>
      </w:r>
      <w:r w:rsidR="007B6273" w:rsidRPr="00D34E24">
        <w:rPr>
          <w:rFonts w:asciiTheme="majorEastAsia" w:eastAsiaTheme="majorEastAsia" w:hAnsiTheme="majorEastAsia" w:cs="Times New Roman"/>
          <w:sz w:val="20"/>
          <w:szCs w:val="18"/>
        </w:rPr>
        <w:t>集計を行った。</w:t>
      </w:r>
    </w:p>
    <w:p w:rsidR="002176A1" w:rsidRPr="00D34E24" w:rsidRDefault="007B6273" w:rsidP="00D34E24">
      <w:pPr>
        <w:snapToGrid w:val="0"/>
        <w:spacing w:line="240" w:lineRule="exact"/>
        <w:rPr>
          <w:rFonts w:asciiTheme="majorEastAsia" w:eastAsiaTheme="majorEastAsia" w:hAnsiTheme="majorEastAsia"/>
          <w:sz w:val="18"/>
          <w:szCs w:val="18"/>
        </w:rPr>
      </w:pPr>
      <w:r w:rsidRPr="00D34E24">
        <w:rPr>
          <w:rFonts w:asciiTheme="majorEastAsia" w:eastAsiaTheme="majorEastAsia" w:hAnsiTheme="majorEastAsia" w:cs="Times New Roman"/>
          <w:sz w:val="20"/>
          <w:szCs w:val="18"/>
        </w:rPr>
        <w:t xml:space="preserve">　</w:t>
      </w:r>
    </w:p>
    <w:sectPr w:rsidR="002176A1" w:rsidRPr="00D34E24" w:rsidSect="00D21C43">
      <w:pgSz w:w="11906" w:h="16838"/>
      <w:pgMar w:top="1985" w:right="1985" w:bottom="1276" w:left="1985"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ED3" w:rsidRDefault="003A6ED3" w:rsidP="00EA0D60">
      <w:r>
        <w:separator/>
      </w:r>
    </w:p>
  </w:endnote>
  <w:endnote w:type="continuationSeparator" w:id="0">
    <w:p w:rsidR="003A6ED3" w:rsidRDefault="003A6ED3" w:rsidP="00EA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ED3" w:rsidRDefault="003A6ED3" w:rsidP="00EA0D60">
      <w:r>
        <w:separator/>
      </w:r>
    </w:p>
  </w:footnote>
  <w:footnote w:type="continuationSeparator" w:id="0">
    <w:p w:rsidR="003A6ED3" w:rsidRDefault="003A6ED3" w:rsidP="00EA0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15A7"/>
    <w:multiLevelType w:val="hybridMultilevel"/>
    <w:tmpl w:val="79BE09D6"/>
    <w:lvl w:ilvl="0" w:tplc="BBE604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7E02B5"/>
    <w:multiLevelType w:val="hybridMultilevel"/>
    <w:tmpl w:val="906295CA"/>
    <w:lvl w:ilvl="0" w:tplc="6FDEF1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751C99"/>
    <w:multiLevelType w:val="hybridMultilevel"/>
    <w:tmpl w:val="C9FECB9C"/>
    <w:lvl w:ilvl="0" w:tplc="04090017">
      <w:start w:val="1"/>
      <w:numFmt w:val="aiueoFullWidth"/>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70A65932"/>
    <w:multiLevelType w:val="hybridMultilevel"/>
    <w:tmpl w:val="E522D3EC"/>
    <w:lvl w:ilvl="0" w:tplc="120CD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5E824AA"/>
    <w:multiLevelType w:val="hybridMultilevel"/>
    <w:tmpl w:val="E89C358E"/>
    <w:lvl w:ilvl="0" w:tplc="A4D88D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73911C6"/>
    <w:multiLevelType w:val="hybridMultilevel"/>
    <w:tmpl w:val="3662DE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0E"/>
    <w:rsid w:val="000D27AD"/>
    <w:rsid w:val="00100444"/>
    <w:rsid w:val="00136A7B"/>
    <w:rsid w:val="002176A1"/>
    <w:rsid w:val="0022618D"/>
    <w:rsid w:val="00273BCB"/>
    <w:rsid w:val="00336BD7"/>
    <w:rsid w:val="003650F5"/>
    <w:rsid w:val="00394BE0"/>
    <w:rsid w:val="003A6ED3"/>
    <w:rsid w:val="003C260B"/>
    <w:rsid w:val="004445B7"/>
    <w:rsid w:val="0052468C"/>
    <w:rsid w:val="005251F2"/>
    <w:rsid w:val="00525AB8"/>
    <w:rsid w:val="005C14EA"/>
    <w:rsid w:val="00604617"/>
    <w:rsid w:val="00625DFA"/>
    <w:rsid w:val="006D082C"/>
    <w:rsid w:val="006F579E"/>
    <w:rsid w:val="007775DF"/>
    <w:rsid w:val="007B6273"/>
    <w:rsid w:val="008035D6"/>
    <w:rsid w:val="008045AC"/>
    <w:rsid w:val="00855455"/>
    <w:rsid w:val="008D66A3"/>
    <w:rsid w:val="008F2A87"/>
    <w:rsid w:val="009264A0"/>
    <w:rsid w:val="009D2C8D"/>
    <w:rsid w:val="009E5E51"/>
    <w:rsid w:val="00B61074"/>
    <w:rsid w:val="00B76CCA"/>
    <w:rsid w:val="00BA4B0E"/>
    <w:rsid w:val="00CB34DD"/>
    <w:rsid w:val="00D21C43"/>
    <w:rsid w:val="00D34E24"/>
    <w:rsid w:val="00D56A0C"/>
    <w:rsid w:val="00D635B9"/>
    <w:rsid w:val="00E01FCB"/>
    <w:rsid w:val="00E0235F"/>
    <w:rsid w:val="00E4495B"/>
    <w:rsid w:val="00E63AC1"/>
    <w:rsid w:val="00E67DB0"/>
    <w:rsid w:val="00E706F7"/>
    <w:rsid w:val="00E9217C"/>
    <w:rsid w:val="00EA0D60"/>
    <w:rsid w:val="00ED2943"/>
    <w:rsid w:val="00F47264"/>
    <w:rsid w:val="00F500FC"/>
    <w:rsid w:val="00FD3336"/>
    <w:rsid w:val="00FE3F66"/>
    <w:rsid w:val="00FF43C5"/>
    <w:rsid w:val="00FF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B0E"/>
    <w:pPr>
      <w:ind w:leftChars="400" w:left="840"/>
    </w:pPr>
  </w:style>
  <w:style w:type="paragraph" w:styleId="a4">
    <w:name w:val="header"/>
    <w:basedOn w:val="a"/>
    <w:link w:val="a5"/>
    <w:uiPriority w:val="99"/>
    <w:unhideWhenUsed/>
    <w:rsid w:val="00BA4B0E"/>
    <w:pPr>
      <w:tabs>
        <w:tab w:val="center" w:pos="4252"/>
        <w:tab w:val="right" w:pos="8504"/>
      </w:tabs>
      <w:snapToGrid w:val="0"/>
    </w:pPr>
  </w:style>
  <w:style w:type="character" w:customStyle="1" w:styleId="a5">
    <w:name w:val="ヘッダー (文字)"/>
    <w:basedOn w:val="a0"/>
    <w:link w:val="a4"/>
    <w:uiPriority w:val="99"/>
    <w:rsid w:val="00BA4B0E"/>
  </w:style>
  <w:style w:type="paragraph" w:styleId="a6">
    <w:name w:val="footer"/>
    <w:basedOn w:val="a"/>
    <w:link w:val="a7"/>
    <w:uiPriority w:val="99"/>
    <w:unhideWhenUsed/>
    <w:rsid w:val="00EA0D60"/>
    <w:pPr>
      <w:tabs>
        <w:tab w:val="center" w:pos="4252"/>
        <w:tab w:val="right" w:pos="8504"/>
      </w:tabs>
      <w:snapToGrid w:val="0"/>
    </w:pPr>
  </w:style>
  <w:style w:type="character" w:customStyle="1" w:styleId="a7">
    <w:name w:val="フッター (文字)"/>
    <w:basedOn w:val="a0"/>
    <w:link w:val="a6"/>
    <w:uiPriority w:val="99"/>
    <w:rsid w:val="00EA0D60"/>
  </w:style>
  <w:style w:type="paragraph" w:styleId="a8">
    <w:name w:val="Balloon Text"/>
    <w:basedOn w:val="a"/>
    <w:link w:val="a9"/>
    <w:uiPriority w:val="99"/>
    <w:semiHidden/>
    <w:unhideWhenUsed/>
    <w:rsid w:val="00EA0D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D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55455"/>
    <w:rPr>
      <w:sz w:val="18"/>
      <w:szCs w:val="18"/>
    </w:rPr>
  </w:style>
  <w:style w:type="paragraph" w:styleId="ab">
    <w:name w:val="annotation text"/>
    <w:basedOn w:val="a"/>
    <w:link w:val="ac"/>
    <w:uiPriority w:val="99"/>
    <w:semiHidden/>
    <w:unhideWhenUsed/>
    <w:rsid w:val="00855455"/>
    <w:pPr>
      <w:jc w:val="left"/>
    </w:pPr>
  </w:style>
  <w:style w:type="character" w:customStyle="1" w:styleId="ac">
    <w:name w:val="コメント文字列 (文字)"/>
    <w:basedOn w:val="a0"/>
    <w:link w:val="ab"/>
    <w:uiPriority w:val="99"/>
    <w:semiHidden/>
    <w:rsid w:val="00855455"/>
  </w:style>
  <w:style w:type="paragraph" w:styleId="Web">
    <w:name w:val="Normal (Web)"/>
    <w:basedOn w:val="a"/>
    <w:uiPriority w:val="99"/>
    <w:semiHidden/>
    <w:unhideWhenUsed/>
    <w:rsid w:val="00F500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B0E"/>
    <w:pPr>
      <w:ind w:leftChars="400" w:left="840"/>
    </w:pPr>
  </w:style>
  <w:style w:type="paragraph" w:styleId="a4">
    <w:name w:val="header"/>
    <w:basedOn w:val="a"/>
    <w:link w:val="a5"/>
    <w:uiPriority w:val="99"/>
    <w:unhideWhenUsed/>
    <w:rsid w:val="00BA4B0E"/>
    <w:pPr>
      <w:tabs>
        <w:tab w:val="center" w:pos="4252"/>
        <w:tab w:val="right" w:pos="8504"/>
      </w:tabs>
      <w:snapToGrid w:val="0"/>
    </w:pPr>
  </w:style>
  <w:style w:type="character" w:customStyle="1" w:styleId="a5">
    <w:name w:val="ヘッダー (文字)"/>
    <w:basedOn w:val="a0"/>
    <w:link w:val="a4"/>
    <w:uiPriority w:val="99"/>
    <w:rsid w:val="00BA4B0E"/>
  </w:style>
  <w:style w:type="paragraph" w:styleId="a6">
    <w:name w:val="footer"/>
    <w:basedOn w:val="a"/>
    <w:link w:val="a7"/>
    <w:uiPriority w:val="99"/>
    <w:unhideWhenUsed/>
    <w:rsid w:val="00EA0D60"/>
    <w:pPr>
      <w:tabs>
        <w:tab w:val="center" w:pos="4252"/>
        <w:tab w:val="right" w:pos="8504"/>
      </w:tabs>
      <w:snapToGrid w:val="0"/>
    </w:pPr>
  </w:style>
  <w:style w:type="character" w:customStyle="1" w:styleId="a7">
    <w:name w:val="フッター (文字)"/>
    <w:basedOn w:val="a0"/>
    <w:link w:val="a6"/>
    <w:uiPriority w:val="99"/>
    <w:rsid w:val="00EA0D60"/>
  </w:style>
  <w:style w:type="paragraph" w:styleId="a8">
    <w:name w:val="Balloon Text"/>
    <w:basedOn w:val="a"/>
    <w:link w:val="a9"/>
    <w:uiPriority w:val="99"/>
    <w:semiHidden/>
    <w:unhideWhenUsed/>
    <w:rsid w:val="00EA0D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D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55455"/>
    <w:rPr>
      <w:sz w:val="18"/>
      <w:szCs w:val="18"/>
    </w:rPr>
  </w:style>
  <w:style w:type="paragraph" w:styleId="ab">
    <w:name w:val="annotation text"/>
    <w:basedOn w:val="a"/>
    <w:link w:val="ac"/>
    <w:uiPriority w:val="99"/>
    <w:semiHidden/>
    <w:unhideWhenUsed/>
    <w:rsid w:val="00855455"/>
    <w:pPr>
      <w:jc w:val="left"/>
    </w:pPr>
  </w:style>
  <w:style w:type="character" w:customStyle="1" w:styleId="ac">
    <w:name w:val="コメント文字列 (文字)"/>
    <w:basedOn w:val="a0"/>
    <w:link w:val="ab"/>
    <w:uiPriority w:val="99"/>
    <w:semiHidden/>
    <w:rsid w:val="00855455"/>
  </w:style>
  <w:style w:type="paragraph" w:styleId="Web">
    <w:name w:val="Normal (Web)"/>
    <w:basedOn w:val="a"/>
    <w:uiPriority w:val="99"/>
    <w:semiHidden/>
    <w:unhideWhenUsed/>
    <w:rsid w:val="00F500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shiryo-04</dc:creator>
  <cp:lastModifiedBy>DEHMA</cp:lastModifiedBy>
  <cp:revision>6</cp:revision>
  <cp:lastPrinted>2014-03-04T04:26:00Z</cp:lastPrinted>
  <dcterms:created xsi:type="dcterms:W3CDTF">2017-02-28T03:06:00Z</dcterms:created>
  <dcterms:modified xsi:type="dcterms:W3CDTF">2017-03-06T08:06:00Z</dcterms:modified>
</cp:coreProperties>
</file>